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Adolfo Cuevas Magro presentó escrito en este Tribunal el 26 de octubre pasado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día 25 de noviembre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estos se otorgará un plazo de diez días para que formalicen la demanda, tal como dispone el art. 49 de la L.O.T.C. A estos efectos, si pidiere el nombramiento de oficio, podrá remitir al Tribu nal Constitucional una relación circunstanciada de los hechos en que funde el amparo y los documentos con que cuente para justificarlos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14 de diciembre último,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