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Baraona Vizcaino, se dirigió a este Tribunal Constitucional en escrito que se recibió el veintiséis de octubre del pasado año, poniendo de manifiesto que lleva en prisión preventiva un mes,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dieciséis de diciembre pasado que el recurrente compareciera por medio de Procurador y bajo la dirección de Abogado, tal como dispone el articulo 81.1) de la Ley Orgánica del Tribunal Constitucional (L.O.T.C.),y al notificársele esta providencia, se ha hecho constar por el Juzgado de Instrucción nueve de Madrid que fue puesto en libertad provisional el nueve de diciembre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Único.-De las distintas peticiones que ha hecho el recurrente, sólo es materia propia del amparo la referente al derecho a un proceso debido sin dilaciones excesivas que generen una privación de libertad más allá de lo que el carácter preventivo requiere en orden a la instrucción penal, pues las otras peticiones de que se proceda a una reforma legislativa, no pueden tener como destinatario a este Tribunal Constitucional, cornos se infiere de las competencias que asigna el articulo 2º de la L.O.T.C.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