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marzo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Fernando Diaz Cajigal presentó escrito en este Tribunal el 26 de Octubre pasado, solicitando la reforma inmediata del Código Penal y Ley de Enjuiciamiento Criminal, la aceleración urgente de su proceso jurídico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dieciocho de Noviembre pasado, acordó hacer saber al solicitante que según lo dispuesto en el art. 49.1 en relación con el 81.1 de la Ley Orgánica del Tribunal Constitucional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cuenta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diecisiete de Febrero último ha transcurrido el plazo de diez días sin que el solicitante comparezca por medio de Abogado y Procurador, sin que tampoco haya solicitado el nombramiento de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 turno de oficio. El transcurso del indicado plazo sin que se subsanara la omisión determina la inadmisión del recurso tal como dispone el art. 50.1. b) en relación con el 49.1 y 80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