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21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enero de 1982 tuvo entrada en este Tribunal un escrito de don Antonio Porras Bedmar, en el que no figuraba representación de Procurador ni asistencia de Letrado y en el que se pedía que se condenase a la Presidencia del Gobierno a abonar al recurrente una determinada gratificación mensual, así como a pagar ciertas cantidades dejadas de percibir por el mismo concepto. Invocaba, entre otros,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17 de febrero de 1982 este Tribunal dictó providencia señalando entre otros extremos el defecto subsanable de la falta de representación por Procurador y de asistencia técnica de Letrado y dando al recurrente el plazo de diez días para subsanar tal defecto.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señalado el recurrente no nombró Procurador ni Abogado ni hizo manifestación alguna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81.1 de la Ley Orgánica del Tribunal Constitucional (LOTC) exige que las personas físicas o jurídicas cuyo interés les legitime para comparecer en los procesos constitucionales como actores o coadyuvantes deberán conferir su representación a un Procurador y actuar bajo la dirección de Letrado. El solicitante del amparo no cumplió con este requisito al presentar su escrito ni ha subsanado el defecto como podía hacerlo de acuerdo con el art. 85.2 de la LOTC y con la providencia de este Tribunal de 17 de febrero de 1982, que le otorgó un plazo de diez días para proceder a tal subsanación, ni hizo en dicho plazo manifestación alguna al respecto. Por todo lo cual procede la inadmisión del recurso con arreglo a lo dispuesto en el art. 50.1 b) en relación con el 49.1 y 81.1, todos ellos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