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referencia y en su reunión del día de hoy ha dictado el presente Auto en base a los siguientes antecedentes y fundamentos.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Carrillo Mora dirigió a este Tribunal escrito de fecha 22 de febrero pasado deduciendo recurso de amparo, en el que afirma que es funcionario del Servicio Nacional de Productos Agrarios (S. E. N. P. A.), dependiente del Ministerio de Agricultura, de plantilla y con la categoría de Auxiliar Administrativo; afirmaba haber agotado todos los recursos legales y suplicaba le fuese concedido el pase a la Escala del o Administrativo, ocupando el puesto número 30 en la lista que inserta el «Boletín Oficial del Estado» núm. 275 de 17 de noviembre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con fecha 10 de marzo pasado, acordó poner de manifiesto al solicitante del amparo la posible existencia de los siguientes motivos de inadmisibilidad: 1.° haber comparecido sin la asistencia de Letrado y representado por Procurador, lo que constituye motivo de inadmisión si no se subsana (art. 50.1 b), en relación con el 81.1 de la Ley Orgánica del Tribunal Constitucional); 2.° no referirse el recurso a derechos o libertades com rendidos en el art. 53.2 de la Constitución Española y 41.1 de la Ley Orgánica de este Tribunal, lo que constituye motivo de inadmisión conforme al art. 50.1 de dicha Ley Orgánica; 3.° no haberse acudido previamente a la vía judicial, tal como previene el art. 53.2 de la Constitución y 43.1 de la mencionada Ley Orgánica en relación con su Disposición Transitoria Segunda. Por lo que, conforme al art. 50 de la LOTC, se otorgó un plazo común de diez días al Ministerio Fiscal y al solicitante del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en 18 de marzo su escrito de alegaciones; habiendo transcurrido el plazo otorgado por la antedicha providencia sin que se haya presentado escrito alguno de alegaciones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juego de los art. 50 y 85.1 de la LOTC permite que en un proceso sin rigores formalistas, como es el de amparo constitucional, puedan remediarse aquellas causas de inadmisión que tengan carácter subsanable.  En el caso presente el Tribunal puso de manifiesto en su providencia de 10 de marzo la posible existencia de tres motivos de inadmisibilidad, uno de ellos subsanable; no habiéndose subsanado los defectos de postulación del art. 81.1 de la LOTC el recurso resulta, sin más, inadmisible, no siendo necesario que entremos a valorar la existencia de los otros dos motivos aducidos por el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se acuerda declarar inadmisible el recurso de amparo interpuesto por don Fernando Carrillo Mora.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