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19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visto el recurso de amparo promovido por don José Luis Rodríguez Baena, el que denuncia una serie de actuaciones del Director del Centro Penitenciario de Cumplimiento y Diligencias de Huesca.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1. Don José Luis Rodríguez Baena, interno en el Centro Penitenciario de Cumplimiento y Diligencias de Huesca, dirigió escrito a este Tribunal Constitucional a través de la Dirección de dicho establecimiento penal, que tuvo entrada el día 20 de abril de 1982, promoviendo recurso de amparo constitucional contra una serie de supuestos delitos que manifiesta se vienen cometiendo en el Centro donde se halla internado, y solicitando la apertura de una investigación sobre la conducta del Director de dicho establecimiento, a fin de exigirle las responsabilidades a que hubiere lugar, y proceder a su procesamiento y su cese inmediato en el cargo que ostenta hasta ver comprobados dichos hechos.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escrito del señor Rodríguez Baena pide una instrucción sumarial y una depuración de responsabilidades, que, a juicio de quien lo firma, son de orden penal y de orden disciplinario. Tal pretensión no es de las que el art. 161.1 de la Constitución y art. 2 de la Ley Orgánica del Tribunal Constitucional, encomiendan a este Tribunal Constitucional.  Por esto, de oficio y tal como previene el art. 4.2 de la LOTC, procede apreciar la falta de jurisdicción.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falta de jurisdicción para conocer de los hechos que se denuncian en el meritado escrito, lo que se notificará al interesado y al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