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194</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1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ha examinado el referido asunto y dictado el presente Auto con base en los siguientes antecedentes y fundamentos jurídicos.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28 de abril pasado, el Procurador señor Vázquez Guillén promovió incidente de suspensión de la ejecución del acto que había recurrido en amparo en 25 de marzo anterior, en representación de Información y Prensa, S. A., y don Pedro J. Ramírez Codina, acto del Consejo Supremo de Justicia Militar referente a la suspensión de acreditaciones de «Diario 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Tercera de este Tribunal acordó formar la correspondiente pieza incidental en la que han presentado sus respectivos escritos de alegaciones, relativas a la suspensión postulada, el Ministerio Fiscal y la representación de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Posteriormente y en la misma fecha en que ahora se resuelve en pieza incidental, esta Sala ha dictado en los autos principales Sentencia otorgando el amparo pedido. </w:t>
      </w:r>
    </w:p>
    <w:p w:rsidRPr="00C21FFE" w:rsidR="00AD51A7" w:rsidRDefault="008777C4">
      <w:pPr>
        <w:rPr/>
      </w:pPr>
      <w:r w:rsidRPr="&lt;w:rPr xmlns:w=&quot;http://schemas.openxmlformats.org/wordprocessingml/2006/main&quot;&gt;&lt;w:lang w:val=&quot;es-ES_tradnl&quot; /&gt;&lt;/w:rPr&gt;">
        <w:rPr/>
        <w:t xml:space="preserve">A estos antecedentes es de aplicación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Habiéndose dictado Sentencia otorgando el amparo pedido, en la medida en que esto era posible en el estado actual del proceso del cual trae causa el amparo, es obvio que la misma, al ser resolutoria de la pretensión principal, deja sin objeto la incidental, no siendo preciso pronunciarse sobre la suspensión de un acto que la referida Sentencia ha anulado.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Sala acuerda que no ha lugar a pronunciarse sobre la petición de suspensión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