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195</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 de junio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En el indicado asunto, la Sección ha dictado en el día de hoy el presente Auto, con base en los siguientes antecedentes y fundamentación jurídica.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providencia de 24 de marzo se ordenó en este recurso el trámite de alegaciones que establece el art. 52.1 de la Ley Orgánica de este Tribunal, trámite que fue, efectivamente, cumplimentado por las partes y el Ministerio Fiscal; el Abogado del Estado pidió en su escrito de alegaciones el recibimiento a prueba del recurso. De dicha petición se dio traslado al Ministerio Fiscal y a las partes.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Ministerio Fiscal y la representación del codemandado mostraron su conformidad al recibimiento a prueba del proceso; no formulando manifestación alguna la parte demandante. </w:t>
      </w:r>
    </w:p>
    <w:p w:rsidRPr="00C21FFE" w:rsidR="00AD51A7" w:rsidRDefault="008777C4">
      <w:pPr>
        <w:rPr/>
      </w:pPr>
      <w:r w:rsidRPr="&lt;w:rPr xmlns:w=&quot;http://schemas.openxmlformats.org/wordprocessingml/2006/main&quot;&gt;&lt;w:lang w:val=&quot;es-ES_tradnl&quot; /&gt;&lt;/w:rPr&gt;">
        <w:rPr/>
        <w:t xml:space="preserve">A estos hechos es de aplicación los siguientes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Habiéndose solicitado el recibimiento a prueba por el Abogado del Estado y no habiéndose opuesto el Ministerio Fiscal ni las demás partes, y pudiendo ser relevantes para la decisión del proceso las pruebas que el solicitante señala, procede acordar el recibimiento a prueba del proceso.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Sección acuerda recibir a prueba este recurso de amparo por plazo de treinta días para la práctica de la documental interesada por el Abogado del Estado en otrosí de su escrito de alegaciones. Debiendo librarse el correspondiente</w:t>
      </w:r>
    </w:p>
    <w:p w:rsidRPr="" w:rsidR="00AD51A7" w:rsidRDefault="008777C4">
      <w:pPr>
        <w:rPr/>
      </w:pPr>
      <w:r w:rsidRPr="&lt;w:rPr xmlns:w=&quot;http://schemas.openxmlformats.org/wordprocessingml/2006/main&quot;&gt;&lt;w:szCs w:val=&quot;24&quot; /&gt;&lt;/w:rPr&gt;">
        <w:rPr/>
        <w:t xml:space="preserve">despacho a la Sala Tercera del Tribunal Supremo.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junio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