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S. R. C.</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y don M. L. V.</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 R. C. y don M. L. V. fueron condenadados por Sentencia de la Audiencia Provincial de Castellón de 31 de mayo de 1980, cuyo primer resultando dice así: «Resultando probado, y así se declara, que los procesados S. R. C. y M. L. V., de mayoría de edad penal, mala conducta y ejecutoriamente condenados con anterioridad el primero en Sentencia de 31 de octubre de 1974 por un delito de robo y en la de 29 de septiembre de 1975 por tres delitos asimismo de robo, puestos de común acuerdo en la finalidad, el día 29 de enero del año 1979, estando en la situación laboral de sin trabajo, se desplazaron en avión desde Barcelona, lugar de residencia, a Málaga, en donde adquirieron de persona desconocida 24 bolsitas de sustancia estupefaciente conocida con el nombre de hachís, con un peso total de 11,742 kilogramos, que repartieron en dos bolsas, una de ellas de color verde, de nailon, con ribetes plastificados de color avellana en sus asas y otra, también de nailon, de color avellana, y el día 31 del mes citado salieron para regresar a su domicilio en el expreso Málaga-Valencia-Barcelona en el vagón de literas, portando la indicada mercancía en los recipientes indicados, que depositaron en un departamento en el sitio que está designado a los equipajes, bolsas que fueron ocupadas por la pareja de servicio de vigilancia del Cuerpo Superior de Policía entre las estaciones de Burriana y la de esta capitalidad de Castellón, siendo detenidos los procesados, ocupándoseles además de la droga la suma de 773.300 pesetas a S. R. C. y 10.300 a M. L. 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prepararon recurso de casación por dos motivos, el primero al amparo del núm. 1.° del art. 849 de la Ley de Enjuiciamiento Criminal y el segundo al amparo del núm. 2 del mismo art. 849. No fue admitido el motivo segundo y el primero fue desestimado por Sentencia del Tribunal Supremo de 2 de noviembre de 1982. A juicio de los recurrentes, la Audiencia había infringido la presunción de inocencia (art. 24 de la C.E.), pero la Sentencia del Tribunal Supremo afirma que «el examen de los Autos está poniendo de relieve que en el acto del juicio oral se practicaron pruebas de confesión y de testigos, más la documental que se dio por reproducida y que llevaron al Tribunal de instancia a sentar la inequívoca conclusión de culpabilidad basada en unos hechos que no permiten ni la menor fisura para infiltrar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del Tribunal Supremo interpusieron los en ella condenados recurso de amparo por violación de la presunción de inocencia reconocida por el art. 24.2 de la Constitución. La Sección correspondiente, por providencia de 26 de enero de 1983, abrió el trámite previsto en el art. 50 de la LOTC, poniendo de manifiesto la posible causa de inadmisibilidad recogida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los recurrentes insistieron en las mismas peticiones y razones alegadas en su escrito de demanda. Por su parte, el Ministerio Fiscal estima que de la lectura de la documentación que tenía a la vista no podía inferir con seguridad si en el momento oportuno se realizó o no la mínima actividad probatoria en relación con la supuesta actuación delictiva de los hoy recurrentes, y que no podía llegar al convencimiento sobre ese punto sin ver las actuaciones, y como quiera que el art. 51 de la LOTC sólo permite que este Tribunal las pida al Juez o Tribunal que conoció del procedimiento precedente una vez admitida la demanda de amparo, solicitaba que el presente recurso se admitiera por no concurrir el caso de inadmisibilidad recogido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pesar de lo que el Ministerio Fiscal ha alegado en trámite de alegaciones, es lo cierto, como se ha señalado en el antecedente segundo de este Auto, que en la Sentencia del Tribunal Supremo de 2 de noviembre de 1982 se afirma que «el examen de los autos está poniendo de relieve que en el acto del juicio oral se practicaron pruebas de confesión y de testigos, más la documental que se dio por reproducida...». Siendo esto así la Sección entiende que sí se ha producido en el proceso penal en que fueron condenados los hoy recurrentes en amparo esa «mínima actividad probatoria» que, según doctrina de este Tribunal es necesaria y suficiente para excluir una lesión contra el derecho a la presunción de inocencia. Por consiguiente, la Sección estima que sí concurre en este caso la causa de inadmisibilidad del art.  50.2 b) de la LOTC y que, en consecuencia, procede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todo lo expuesto, declara la inadmisión del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