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formulado por don Francis Mastrorelli.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ll de enero pasado se presentó ante este Tribunal demanda de amparo en nombre de don Francis Mastrorelli, contra Auto de la Sección Primera de la Audiencia Provincial de Madrid de 25 de noviembre anterior, confirmatorio de providencia de la propia Sección que había denegado rebajar la fianza señalada al recurrente, a la sazón procesado, para garantizar su libertad provisional en la causa correspondiente al sumario núm. 112/1980 del Juzgado de Instrucción núm. 19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Constitucional acordó en 16 de febrero pasado poner de manifiesto al Ministerio Fiscal y al recurrente la posible carencia de contenido constitucional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5 de marzo en curso, la representación del demandante ha presentado escrito desistiendo de este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escrito de desistimiento se fundamenta en la consideración de que el recurrente ha obtenido de la Audiencia Provincial de Madrid la reducción de la fianza originariamente fijada para gozar del beneficio de la libertad provisional. Forzoso es entender, por tanto, que el desistimiento es realmente consecuencia de la satisfacción extraprocesal de la petición deducida ante nosotros, que queda por ello vacía de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tener por terminado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