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384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12 de agosto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pieza de suspensión del recurso de amparo promovido por don Antonio Hernández Jódar.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27 de junio pasado, se presentó por don Antonio Hernández Jódar demanda de amparo frente a la Sentencia dictada por la Audiencia Provincial de Murcia en 12 de marzo de 1982, condenatoria para el recurrente, y al Auto de 9 de mayo del año actual, por virtud del cual la Sala Segunda del Tribunal Supremo declara la inadmisión del recurso de casación por infracción de ley preparado contra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referida demanda se pidió la suspensión de la ejecución de la Sentencia impugnada, formándose la correspondiente pieza incidental en que ha sido oído el Ministerio Fiscal. </w:t>
      </w:r>
    </w:p>
    <w:p w:rsidRPr="00C21FFE" w:rsidR="00AD51A7" w:rsidRDefault="008777C4">
      <w:pPr>
        <w:rPr/>
      </w:pPr>
      <w:r w:rsidRPr="&lt;w:rPr xmlns:w=&quot;http://schemas.openxmlformats.org/wordprocessingml/2006/main&quot;&gt;&lt;w:lang w:val=&quot;es-ES_tradnl&quot; /&gt;&lt;/w:rPr&gt;">
        <w:rPr/>
        <w:t xml:space="preserve">La parte demandante había pedido en la demanda la suspensión con base en que la ejecución de la misma podría ocasionarle perjuicios personales de muy difícil reparación, que harían perder al amparo su finalidad. </w:t>
      </w:r>
    </w:p>
    <w:p w:rsidRPr="00C21FFE" w:rsidR="00AD51A7" w:rsidRDefault="008777C4">
      <w:pPr>
        <w:rPr/>
      </w:pPr>
      <w:r w:rsidRPr="&lt;w:rPr xmlns:w=&quot;http://schemas.openxmlformats.org/wordprocessingml/2006/main&quot;&gt;&lt;w:lang w:val=&quot;es-ES_tradnl&quot; /&gt;&lt;/w:rPr&gt;">
        <w:rPr/>
        <w:t xml:space="preserve">El Ministerio Fiscal entiende que por ahora no procede acceder a la suspensión, sin perjuicio de lo que posteriormente pueda acordarse si fuera admitida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estado actual del presente recurso de amparo, en que no ha recaído resolución sobre su admisión, y el carácter cautelar y provisional de las decisiones sobre suspensión, revisables cuando la variación en las circunstancias o el conocimiento de otras así lo justifiquen, determinan en el caso actual, en que de la ejecutividad de la resolución recurrida, no se deriva de modo inmediato un perjuicio irreparable, que deneguemos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denegar la suspensión pedida de la ejecución de la resolución impugnada en el recurso de amparo a que se ha hecho mención.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agosto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