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23 de julio pasado se presentó por la Comunidad Autónoma de Madrid demanda de amparo frente a Sentencia de la Magistratura de Trabajo n° 2 de Madrid, confirmada en suplicación, de fecha 24 de septiembre de 1982, que estimó la demanda formulada por empleadas de la extinguida Diputación Provincial de Madrid relativa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pidio la suspensión de la ejecución de la resolución impugnada formándose la correspondiente pieza separada para tramitar el incidente en que han sido oidos el Ministerio Fiscal y la propia entidad recurrente.</w:t>
      </w:r>
    </w:p>
    <w:p w:rsidRPr="00C21FFE" w:rsidR="00AD51A7" w:rsidRDefault="008777C4">
      <w:pPr>
        <w:rPr/>
      </w:pPr>
      <w:r w:rsidRPr="&lt;w:rPr xmlns:w=&quot;http://schemas.openxmlformats.org/wordprocessingml/2006/main&quot;&gt;&lt;w:lang w:val=&quot;es-ES_tradnl&quot; /&gt;&lt;/w:rPr&gt;">
        <w:rPr/>
        <w:t xml:space="preserve">La demandante alega en favor de la suspensión la solvencia de la Comunidad Autónoma que, en todo caso, garantiza frente a cualquier perjuicio que se produzca a las personas afectadas en su jornada laboral.</w:t>
      </w:r>
    </w:p>
    <w:p w:rsidRPr="00C21FFE" w:rsidR="00AD51A7" w:rsidRDefault="008777C4">
      <w:pPr>
        <w:rPr/>
      </w:pPr>
      <w:r w:rsidRPr="&lt;w:rPr xmlns:w=&quot;http://schemas.openxmlformats.org/wordprocessingml/2006/main&quot;&gt;&lt;w:lang w:val=&quot;es-ES_tradnl&quot; /&gt;&lt;/w:rPr&gt;">
        <w:rPr/>
        <w:t xml:space="preserve">El Ministerio Fiscal expone que la ejecución no privará en modo alguno al amparo de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estado actual del presente recurso de amparo interpuesto por la Comunidad Autónoma de Madrid contra Sentencia del Tribunal Central de Trabajo que confirmó la pronunciada por el Magistrado de Trabajo nº 2 de Madrid que declaró el derecho de unas trabajadoras a seguir desempeñando una determinada jornada laboral, en que no ha recaido resolución sobre su admisión, y el carácter provisional de las decisiones que dice el art. 56 de la LOTC, unido a que en la demanda de amparo no se precisa cuál es el perjuicio que para la recurrente pudiera derivar de la ejecución determinante de la frustración de la finalidad del amparo, lleva en el caso actual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