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Bernarda Urdiales Alvarez formuló en su día demanda ante la Magistratura de Trabajo nº 1 de las de León en solicitud de pensión de viudedad al amparo de la Ley 1/80 de 4 de enero. Aunque la Sentencia de Magistratura le fue favorable, el Tribunal Central de Trabajo en la suya de 22 demarzo de 1983, acogió el recurso de suplicación que el Instituto Nacional de la Seguridad Social interpuso contra la resolución de la instancia. Contra la Sentencia del T.C.T.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18 de mayo admitió el recurso y acordó que se pidiesen las correspondientes actuaciones judiciales al amparo del artículo 51 de-la L.O.T.C. Recibidas éstas y personado el INSS, la misma Sección por providencia de 16 de septiembre acusó recibo, y acordó dar traslado a las partes de las actuaciones y de la Sentencia dictada por este Tribunal a 26 de julio de 1983 en el R.A. 61/83, por su posible conexión con el presente caso y con el artículo 50.2.c) L.O.T.C, otorgando plazo común a las partes para que aleguen acerca de la posible inadmisibilidad sobrevenida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aquella causa de inadmisibilidad sobrevenida y pide por tanto la inadmisión del recurso. En el mismo sentido se pronuncia 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R.A. 61/83 tiene por objeto dilucidar si las viudas, y en concreto la recurrente, de trabajadores agricolas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1/l980 de 4 de enero. Tal problema fue ciertamente resuelto por nuestra Sentencia de 26 de julio de 1983 y como lo fue con fallo desestimatorio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doña Bernarda Urdiales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