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Valentina Garrido Gómez formuló en su día demanda ante la Magistratura de Trabajo nº 1 de las de Valencia en solicitud de pensión de viudedad al amparo de la Ley 1/80 de 4 de enero. Aunque la Sentencia de Magistratura le fue favorable, el Tribunal Central de Trabajo en la suya de 9 de abril de 1983, acogió el recurso de suplicación que el Instituto Nacional de Seguridad Social interpuso contra la resolución de la instancia. Contra la Sentencia del T.C.T.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 de junio admitió el recurso y acordó que se pidiesen las correspondientes actuaciones judiciales al amparo del artículo 51 de la L.O.T.C. Recibidas éstas y personado el INSS, la misma Sección por providencia de 16 de septiembre acusó recibo, y acordó dar traslado a las partes de las actuaciones y de la Sentencia dictada por este Tribunal a 26 de julio de 1983 en el R.A. 61/83, por su posible conexión con el presente caso y con el artículo 50.2.c)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formuló alegaciones. Por su parte el Fiscal General del Estado estima que concurre aquella causa de inadmisibilidad y pide por tanto la inadmisión del recurso. En el mismo sentido se pronuncia 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agrícolas por cuenta propia, cuyos cónyuges estuvieron afiliados a la Mutualidad Nacional Agraria, se mantuvieron al corriente en el pago de su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artículo 50. 2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Valentina Garrido Gómez.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