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jurídicas de la extinguida Diputación Provincial de Madrid, y por tanto en la que sirve de base al presente proceso constitucional, presentó recurso de amparo contra la Sentencia del Tribunal Central de Trabajo de 7 de junio de 1983 par la violación que a su juicio ha producido esta Sentencia en el derecho fundamental a no ser discriminada una persona por razón de sexo, derecho protegida por las artículos y 35.1 de la Constitución.</w:t>
      </w:r>
    </w:p>
    <w:p w:rsidRPr="00C21FFE" w:rsidR="00AD51A7" w:rsidRDefault="008777C4">
      <w:pPr>
        <w:rPr/>
      </w:pPr>
      <w:r w:rsidRPr="&lt;w:rPr xmlns:w=&quot;http://schemas.openxmlformats.org/wordprocessingml/2006/main&quot;&gt;&lt;w:lang w:val=&quot;es-ES_tradnl&quot; /&gt;&lt;/w:rPr&gt;">
        <w:rPr/>
        <w:t xml:space="preserve">Doña Florencia Lara Navarra y otras trabajadoras interpusieron ante la Magistratura de Trabajo número 4 de las de Madrid demanda contra la Excelentísima Diputación pidiéndose declarara su derecho a seguir rigiéndose en su jornada laboral por el régimen para ellas establecida desde 1977, y no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19 de octubre de 1982 estimó la pretensión de las actoras y declaró su derecho a seguir desempeñando la jornada de 27 horas semanales y 1.314 horas al año, esto es, las que venían cumpliendo antes del convenio de 1981. La Diputación recurrió contra esta sentencia en suplicación ante el Tribunal Central de Trabajo, pero éste, en su Sentencia de 7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LCTC), pide la declaración de nulidad de la Sentencia del T.C.T. así como también la de la Magistratura y que se le reconozca a ella su derecho a aplicar al personal femenino de turno de noche el horario establecido en el artículo 23.c del Convenio ya citado, "camo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50.1.b de la LOTC en relación con el 46.1.b y el 44.c de la Ley Orgánica de este Tribunal (LOTC), por falta de legitimación de la Comunidad demandante y b) la del art. 50.2.b LOTC. Al mismo tiempo abrió el plazo común para alegaciones del artículo 50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LOTC, como por el artículo 162.1.b CE, que habla de "interés legítimo", expresión que este Tribunal ha declarado que es más amplia que la de interés directa de la Ley Reguladora de la Jurisdicción Contencioso 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motivas de inadmisibilidad y par consiguiente pide la inamisión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que a juicio de la demandante ha sido violado por las Sentencias impugnadas es, según sus propias palabras,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misma, debe ser declarada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manifieste en nuestra previdencia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