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juridicas de la extinguida Diputación Provincial de Madrid, y por tanto en la que sirve de base al presente proceso constitucional, presentó recurso de amparo contra la Sentencia del Tribunal Central de Trabajo de 11 de junio de 1983 por la violación que a su juicio ha producido esta Sentencia en el derecho fundamental a no ser discriminada una persona por razón de</w:t>
      </w:r>
    </w:p>
    <w:p w:rsidRPr="00C21FFE" w:rsidR="00AD51A7" w:rsidRDefault="008777C4">
      <w:pPr>
        <w:rPr/>
      </w:pPr>
      <w:r w:rsidRPr="&lt;w:rPr xmlns:w=&quot;http://schemas.openxmlformats.org/wordprocessingml/2006/main&quot;&gt;&lt;w:lang w:val=&quot;es-ES_tradnl&quot; /&gt;&lt;/w:rPr&gt;">
        <w:rPr/>
        <w:t xml:space="preserve">sexo, derecho protegido por los artículos 14 y 35.1 de la Constitución (CE.).</w:t>
      </w:r>
    </w:p>
    <w:p w:rsidRPr="00C21FFE" w:rsidR="00AD51A7" w:rsidRDefault="008777C4">
      <w:pPr>
        <w:rPr/>
      </w:pPr>
      <w:r w:rsidRPr="&lt;w:rPr xmlns:w=&quot;http://schemas.openxmlformats.org/wordprocessingml/2006/main&quot;&gt;&lt;w:lang w:val=&quot;es-ES_tradnl&quot; /&gt;&lt;/w:rPr&gt;">
        <w:rPr/>
        <w:t xml:space="preserve">Con fecha 17 de mayo de 1982 doña María Felisa Hernández Jiménez y otra trabajadora interpusieron ante la Magistratura de Trabajo número 15 de las de Madrid demanda contra la Excelentísima Diputación pidiendo se declarara su derecho a seguir rigiéndose en su jornada laboral por el régimen para ellas establecido desde 1977, y no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15 de noviembre de 1982 estimó la pretensión de las actoras y declaró su derecho a seguir desempeñando la jornada de 27 horas semanales y 1.314 horas al año, esto es, las que venían cumpliendo antes del convenio de 1981. La Diputación recurrió contra esta Sentencia en suplicación ante el Tribunal Central de Trabajo, pero éste, en su indicada Sentencia de 11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de la Ley Orgánica de este Tribunal (L.O.T.C.)), pide la declaración de nulidad de la Sentencia del Tribunal Central de Trabajo, así como también la de la Magistratura y que se la reconozca a ella su derecho a aplicar al personal femenino de turno de noche el horario establecido en el artículo 23.c del Convenio</w:t>
      </w:r>
    </w:p>
    <w:p w:rsidRPr="00C21FFE" w:rsidR="00AD51A7" w:rsidRDefault="008777C4">
      <w:pPr>
        <w:rPr/>
      </w:pPr>
      <w:r w:rsidRPr="&lt;w:rPr xmlns:w=&quot;http://schemas.openxmlformats.org/wordprocessingml/2006/main&quot;&gt;&lt;w:lang w:val=&quot;es-ES_tradnl&quot; /&gt;&lt;/w:rPr&gt;">
        <w:rPr/>
        <w:t xml:space="preserve">ya citado, "como lo tiene el personal masculino". Cita en su apoyo los artículos 14 y 35.1 de la CE.,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de la L.O.T.C. en relación con el 46.1.b y el 44. c) de la misma Ley, por falta de legitimación de la Comunidad demandante y b) la del artículo 50.2.b de la L.O.T.C. Al mismo tiempo abrió el plazo común para alegaciones del artículo 50 de la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de la L.O.T.C, como por el artículo 162.1.b de la CE., que habla de "interés legítimo", expresión que este Tribunal ha declarado que es más amplia que la de interés directo de la Ley Reguladora de la Jurisdicción Contencioso 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las Sentencias impugnadas es, según sus propias palabras, "el derecho fundamental de no ser discriminada una persona por razón de sexo". Dada su condición de persona juridica, es obvio que la entidad demandante no acude al amparo constitucional para denunciar una discriminación por ella padecida por tal causa, pues si en la materia objeto del proceso laboral se hubiera producido alguna discriminación por razón del sexo ésta tendria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de la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