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11 de enero de 1984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el recurso de amparo interpuesto por doña María Teresa Calvo Leonor, doña Angeles Inés Casado Carrero, doña Eloísa López de Sancho y Sánchez, doña Carmen Sara González Lombardero y doña Erena López-Malla García.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providencia de 5 de octubre de 1983 se abrió el trámite de alegaciones que regula el art. 52 de la Ley Orgánica de este Tribunal, la parte demandante pidió el recibimiento a prueba del recurso indicando la materia sobre que habría de versar.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De dicha petición se dio traslado a las otras partes, habiendo mostrado su conformidad el Abogado del Estado y su no oposición la representación de las codemandadas; el Ministerio Fiscal expone su parecer de que no procede el recibimiento a prueba pedido.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No habiéndose opuesto formalmente las otras partes a la petición de la demandante y no infiriéndose su impertinencia en relación al objeto litigioso, aparece procedente acceder a lo pedido en los términos que se indican en la parte dispositiva de esta resolución.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Por lo expuesto, la Sección acuerda que, con citación de las partes, se dirija comunicación a la Dirección General de Tráfico interesándole certificación o fotocopia adverada de los siguientes documentos: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a) Escrito-circular 113/1980, de 24 de septiembre, sobre concurso de traslado de funcionarios de la Escala Ejecutiva.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b) Escrito-circular 136/1980, de 21 de noviembre, sobre resolución del concurso a que se refiere el apartado anterior.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c) Escrito-circular 18/1981 sobre resolución de concurso.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Se acuerda asimismo no haber lugar a las restantes pruebas.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once de enero de mil novecientos ochenta y cuatro.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