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DON RICARDO CONDE RUMBAO, DON LADISLAO ALONSO SANJUAN, DON ALBERTO MORAGA RODRÍGUEZ, DON JESÚS MARTÍNEZ MARTÍNEZ y DON ENRIQUE DE DIEGO FERNANDEZ, representados por Procurador y asistidos de Letrado, formulan, mediante escrito que ha tenido su entrada el 6 de febrero de 1984, recurso de amparo exponiendo los siguientes hechos: a) Los demandantes de amparo, funcionarios pertenecientes al Cuerpo Técnico de Telecomunicación de la Dirección General de Correos y Telecomunicación, han venido simultaneando sus actividades funcionariales, o su situación de excedentes voluntarios, según los casos, con actividades laborales privadas y cotizando por estas últimas a la Seguridad Social. b) En la actualidad, una vez jubilados en sus actividades laborales privadas, y habiendo percibido "hasta la fecha" -en la demanda se hace constar la de 24-1-84- las pensiones correspondientes, están en la situación de funcionarios en activo, c) El artículo 52 de la Ley de Presupuestos Generales del Estado para 1984 ha declarado la incompatibilidad de la percepción de la pensión de jubilación de los distintos regímenes de la Seguridad Social con la actividad retribuida que, como funcionarios, vienen ejerciendo los recurrentes.</w:t>
      </w:r>
    </w:p>
    <w:p w:rsidRPr="00C21FFE" w:rsidR="00AD51A7" w:rsidRDefault="008777C4">
      <w:pPr>
        <w:rPr/>
      </w:pPr>
      <w:r w:rsidRPr="&lt;w:rPr xmlns:w=&quot;http://schemas.openxmlformats.org/wordprocessingml/2006/main&quot;&gt;&lt;w:lang w:val=&quot;es-ES_tradnl&quot; /&gt;&lt;/w:rPr&gt;">
        <w:rPr/>
        <w:t xml:space="preserve">Los recurrentes estiman vulnerado por el artículo 52 indicado el principio de igualdad ante la Ley, reconocido por el artículo 14 CE., pues alegan son discriminados respecto de "aquellos otros pensionistas también de la Seguridad Social que continúan manteniendo una actividad profesional remunerada dentro del ámbito de la iniciativa privada, bien como empresario, trabajador por cuenta ajena o autónomo". Y solicitan se declare su restablecimiento en la integridad de sus derechos sociales al percibo de la jubilación que ya tenían reconocida, como derechos adquiridos, por ser nula la declaración de incompatibilidad de pensiones y haberes activos contenida en el artículo 52.1, referido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artículo 161.1.a) de la Constitución atribuye competencia al Tribunal Constitucional para conocer del recurso de inconstitucionalidad contra leyes y disposiciones normativas con fuerza de ley. Este recurso constituye, como es obvio, una vía procesal distinta de la del recurso de amparo regulado en el párrafo b) del mismo artículo y apartado, que se remite para el establecimiento de los casos en que éste proceda y la forma de ejercerlo, a lo dispuesto por la ley.</w:t>
      </w:r>
    </w:p>
    <w:p w:rsidRPr="00C21FFE" w:rsidR="00AD51A7" w:rsidRDefault="008777C4">
      <w:pPr>
        <w:rPr/>
      </w:pPr>
      <w:r w:rsidRPr="&lt;w:rPr xmlns:w=&quot;http://schemas.openxmlformats.org/wordprocessingml/2006/main&quot;&gt;&lt;w:lang w:val=&quot;es-ES_tradnl&quot; /&gt;&lt;/w:rPr&gt;">
        <w:rPr/>
        <w:t xml:space="preserve">La Ley Orgánica del Tribunal Constitucional dispone, a su vez, (art. 41.2) que el recurso de amparo constitucional protege a los ciudadanos frente a las violaciones originadas por disposiciones, actos jurídicos o simple vía de hecho de los poderes públicos. Aunque la ley es, evidentemente, una disposición emanada del poder legislativo, su impugnabilidad está reservada sólo a los órganos o partes de órgano enumerados en el art. 161.1.a) de la Constitución desarrollado por el art. 32 de la LOTC y sustraído, por tanto, al ataque directo de los ciudadanos, los cuales, sin embargo, cuando invoquen un interés legítimo, podrán reaccionar contra los actos de aplicación de la ley e indirectamente poner así en cuestión la validez de ésta, que incluso podrá ser negada a través del procedimiento previsto en el art. 55.2 LOTC. Esta configuración constitucional y legal del recurso de amparo determina también la competencia del Tribunal Constitucional.</w:t>
      </w:r>
    </w:p>
    <w:p w:rsidRPr="00C21FFE" w:rsidR="00AD51A7" w:rsidRDefault="008777C4">
      <w:pPr>
        <w:rPr/>
      </w:pPr>
      <w:r w:rsidRPr="&lt;w:rPr xmlns:w=&quot;http://schemas.openxmlformats.org/wordprocessingml/2006/main&quot;&gt;&lt;w:lang w:val=&quot;es-ES_tradnl&quot; /&gt;&lt;/w:rPr&gt;">
        <w:rPr/>
        <w:t xml:space="preserve">Carece por tanto de competencia el Tribunal para conocer de la pretensión deducida en este caso por los señores Conde Rumbao, Alonso Sanjuán, Moraga Rodríguez, Martínez Martínez y de Diego Fernández y, por tanto, en uso de la facultad que otorga el art. 49.2 de la LOTC procede declararlo así.</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que no procede la admisión del recurso planteado por don Ricardo Conde Rumbao, don Ladislao Alonso Sanjuán, don Alberto Moraga Rodríguez, don Jesús Martínez Martínez y don Enrique de Diego Fernández.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