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junio de 1984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el recurso de amparo interpuesto por don Miguel Castells Arteche.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>1. En su demanda de amparo pidió el señor Castells Arteche, y reiteró en su escrito de alegaciones, el recibimiento a prueba de este recurso, concretando, a requerimiento de esta Sala, la materia sobre que habría de versar. A dicha petición se ha opuesto el Ministerio Fiscal.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Visto el contenido objetivo de este proceso de amparo y la materia sobre la cual ha de versar la actividad probatoria, se estima procedente el recibimiento a prueba pedido, de conformidad con lo dispuesto en el art. 89.1 de la Ley Orgánica de este Tribunal.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Sección acuerda recibir a prueba el presente proceso por plazo de treinta días comunes para que la parte demandante y el Ministerio Fiscal propongan las que estimen oportunas y practicar las que se declaren pertinentes.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trece de junio de mil novecientos ochenta y cuatro.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