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frente a resolución del Juzgado de Primera Instancia núm. 14 de Madrid, la parte actora solicitó la suspensión de la ejecución del acto recurrido. Por providencia de 23 de mayo del presente año, se acordó que se formara pieza separada de suspensión, así como otorgar un plazo común de tres días al Ministerio Fiscal y al solicitante del amparo para alegar lo que estimaren pertinente en orden a la suspensión de la ejecución de la resolución recurrida, así como que se interesara del Juzgado de Distrito núm. 8 de Madrid, que emitiera informe acerca de la procedencia de la citada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indica que, al acordar la resolución impugnada el desahucio del recurrente de la vivienda que ocupa, si se ejecutase, prácticamente quedaría sin finalidad el amparo, caso de otorgarse: por lo que procede acordar la suspensión interesada, aplicando lo dispuesto en el artículo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su parte, expone que la suspensión de la resolución impugnada resultaria ineficaz, toda vez que ha llevado a cabo la consignación de las cantidades señaladas por el Juez de Distrito para la rehabilitación del correspondiente contrato de arrendamiento, de la vivienda a cuyo desahucio fue condenado; reservándose en todo caso las acciones oportunas caso de prosperar 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titular del Juzgado de Distrito núm. 8 de Madrid, en su informe expone que por resolución de 30 de mayo se ha acordado la rehabilitación plena del contrato de arrendamiento mencionado.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prevé la suspensión de la ejecución del acto por razón del cual se reclame el amparo cuando su ejecución hubiera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En el presente caso, y habiéndose evitado el desahucio y lanzamiento del recurrente de la vivienda que ocupa, mediante la rehabilitación del contrato de arrendamiento, es claro que, si bien de la ejecución de la resolución recurrida pudieran derivarse para el recurrente perjuicios de orden económico o de otro tipo, no resulta de ello en modo alguno que por ello pierda el amparo su finalidad, ni que se originen daños de imposible reparación.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denegar la suspensión soli 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