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srguiente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agosto de 1984 tuvo entrada en este Tribunal Constitucional (T.C.) un escrito presentado en nombre propio por don José Garzón Mejías en el que afirmaba estar procesado por los delitos de parricidio, asesinato y tenencia ilicita de armas en el sumario 146/1980, del Juzgado de Instrucción núm. 8 de los de Barcelona, encontrándose en prisión preventiva desde hace cuarenta meses y catorce días y habiendo sido denegada por Auto de 14 de julio de 1983, de la Audiencia Provincial de Barcelona, la libertad provisional solicitada al amparo de la Ley 7/1983, de 23 de abril. Con invocación del art. 17 de la C.E. solicita que este T.C. ordene a la Audiencia Provincial de Barcelona su inmediata puesta en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providencia que dictó el día 31 de septiembre de 1983 la Sección acordó hacer saber al recurrente que, de acuerdo con el art. 81 de la Ley Orgánica del Tribunal Constitucional (LOTC) es preciso comparecer en el recurso de amparo por medio de Procurador y con asistencia de Letrado, a cuyo fin se le concedió un plazo de diez días para subsanar el incumplimiento de dicha exigencia, apercibiéndole de que, efectuados los nombramientos, deberá formalizar la demanda de amparo en los términos que establece el art. 49 de la LOTC y aportar copia, traslado o certificación de la resolución recaída en el procedimiento judicial, conforme preceptúa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Remitida copia de dicha providencia al Centro Penitenciario de Detención de Hombres de Barcelona, éste comunicó a este T.C. el día 18 de octubre de 1983 que el demandante había sido puesto en libertad fijando su residencia en la calle Ausias March, núm. 19, 1.°, 2.ª,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Remitida nuevamente a dicho domicilio la notificación de la providencia antes indicada fue devuelta por el servicio de Correos, remitida de nuevo al domicilio que constaba en el escrito inicial del recurrente fue también devuelta a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28 de marzo de 1984 la Sección acordó notificar al recurrente, en desconocido paradero, el contenido de la providencia por medio de edictos que fueron publicados en el «Boletín Oficial de la Provincia de Barcelona» el 5 de abril de 1984 y fijados en el Tablón de Anuncios de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Transcurrido con exceso el plazo concedido al demandante, no se ha recibido en este T.C. escrito alguno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falta de cumplimiento de los requisitos de postulación que establece el art. 81 de la LOTC constituye un requisito que deviene insubsanable cuando no se procede a su subsanación por el trámite del art. 85.2 de la misma Ley. En el presente caso el T.C. ha notificado al recurrente en desconocido paradero, por medio de edictos, la existencia de dicho defecto, sin que se haya procedido a su subsanación, por lo que la demanda se ha transformado en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ha acordado declarar la inadmisibilidad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