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499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P="00B6466C" w:rsidRDefault="008777C4">
      <w:r>
        <w:rPr xmlns:w="http://schemas.openxmlformats.org/wordprocessingml/2006/main">
          <w:lang w:val="es-ES_tradnl"/>
        </w:rPr>
        <w:t>0. El día 12 de julio de 1984 tuvo entrada en este Tribunal Constitucional escrito de don Francisco Vallejo Pérez en el que se decía que se interponía recurso de amparo contra la Ley 20/1984 de 15 de junio sobre situaciones del personal de las Fuerzas Armadas, y en particular contra sus Disposiciones Adicionales Primera, número dos y Tercera, que excluían a los miembros del Benemérito Cuerpo de Mutilados por la Patria, entre los que se encuentra el recurrente, de la aplicación de sus disposiciones. El recurrente considera infringidos los arts. 14 y 139 de la Constitución y solicita que se declare la inconstitucionalidad de aquellas disposiciones adicionales y se declare el derecho que le asiste a percibir todas las remuneraciones a que hace mención la referida Ley 20/1984 de 15 de junio.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art. 4.2 de la L.O.T.C. dice que el Tribunal Constitucional apreciará, de oficio o a instancia de parte, su falta de jurisdicción o de competencia. En el presente caso el recurrente presenta bajo el nombre de recurso de amparo lo que es en realidad un recurso de inconstitucionalidad contra determinadas disposiciones de una Ley y pide que se enjuicie la conformidad o disconformidad con la Constitución de aquellas disposiciones. Para que este Tribunal Constitucional pueda ejercer su competencia sobre este tipo de recurso es preciso que estos se planteen por los órganos o partes de órganos citados en los artículos 164.1.a de la Constitución y 32 de la L.O.T.C. sin que los particulares estén en ningún caso habilitados para interponerlos. Un recurso de inconstitucionalidad presentado bajo la apariencia de un recurso de amparo de un particular no es en realidad ni un recurso de inconstitucionalidad porque no lo han interpuesto quienes podían hacerlo ni un recurso de amparo porque su objeto no es el propio de este tipo de recursos. Por ello este Tribunal con arreglo al citado art. 4 de su Ley Orgánica puede apreciar y aprecia de oficio su incompetencia para conocer de la causa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declararse de oficio incompetente para conocer de la cuestión planteada.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