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0. El día 12 de julio de 1984 tuvo entrada en este Tribunal Constitucional escrito de don Manuel Luque Castillo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L.O.T.C. dice que el Tribunal Constitucional apreciará, de oficio o a instancia de parte, su falta de jurisdicción o de competencia. En el presente caso el recurrente presenta bajo el nombre de recurso de amparo lo que es en realidad un recurso de inconstitucionalidad contra determinadas disposiciones de una Ley y pide que se enjuicie la conformidad o disconformidad con la Constitución de aquellas disposiciones. Para que este Tribunal Constitucional pueda ejercer su competencia sobre este tipo de recurso es preciso que estos se planteen por los órganos o partes de órganos citados en los artículos 164.1.a de la Constitución y 32 de la L.O.T.C. sin que los particulares estén en ningún caso habilitados para interponerlos.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declararse de oficio incompetente para conocer de la cuestión planteada.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