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12 de julio de 1984 tuvo entrada en este Tribunal Constitucional escrito de don Ismael González Blas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ente tipo de recurso es preciso que estos se planteen por los órganos o partes de órganos citados en los artículos 164.1.a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