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16 de julio de 1984 tuvo entrada en este Tribu nal Constitucional escrito de don Daniel Lodos Santo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deaquellas disposiciones. Para que este Tribunal Constitucional pueda ejercer su competencia sobre este tipo de recurso es preciso que estos se planteen por los órganos o partes de órganos citados en los artículos 164.1.a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