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16 de julio de 1984 tuvo entrada en este Tribunal Constitucional escrito de don Faustino Cuervo González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Constitucional pueda ejercer su competencia sobre este tipo de recurso es preciso que estos se planteen por los órganos o partes de órganos citados en los artículos 164.1.a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