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512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5 de septiembre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Julio Ruiz Moreno.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Que ante el Juzgado de Distrito núm. 8 de los de Sevilla se siguió a instancia de doña Isabel García Fernández y otros, proceso de cognición sobre resolución de contrato por causa de necesidad contra don José Julio Ruiz Moreno, que concluyó por Sentencia de 5 de diciembre de 1980, desestimando la demanda, y apelada ante la Audiencia Provincial, Sección Segunda, se dictó Sentencia revocando la Sentencia de instancia, y declarando resuelto el contrato de arrendamiento. Contra dicha Sentencia que lleva fecha de 21 de mayo actual, el señor Ruiz Moreno interpuso recurso de amparo, presentado en este Tribunal Constitucional de 25 de junio, alegando que en el piso al que se contrae el arrendamiento ejerce la profesión de Abogado y además que es arrendataria por subrogación del mismo doña María del Carmen Benavides Silva, esposa del recurrente según dice en un escrito posterior, que no ha sido llamada al proceso, de todo lo cual deduce que, a su entender, se ha violado el art. 24.2 de la Constitución, esto es, el derecho al Juez predeterminado por la Ley, que es el Juez de Primera Instancia, y el art. 24.1 también de la Constitución al no haber sido llamada al proceso la indicada señora Benavides. Solicita que con anulación de las Sentencias se repongan las actuaciones al momento procesal de 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la Sección de este Tribunal Constitucional acordó por providencia de 11 de julio poner de manifiesto la posible causa de inadmisión del artículo 50.2 b) de la Ley Orgánica de este Tribunal, y en tiempo el Ministerio Fiscal se opuso al recurso por entender que era inadmisible, pues en cuanto a la violación del art. 24.1 es claro que la excepción de falta de personalidad alegada por el demandado en el proceso de cognición fue resuelta por el Juez valorando las pruebas en el sentido de considerar arrendatario al ahora recurrente y en cuanto a la invocación del art. 24.2 sostuvo el Ministerio Fiscal que el Juez predeterminado se contrapone a Juez especial, de modo que decidido el litigio por el Juez civil, la determinación de ser uno y otro no constituye materia de amparo. La parte actora, también en plazo, alegó que como sostuvo en el proceso civil la única arrendataria es su esposa y la competencia para conocer del proceso correspondiente al Juez de Primera Instancia por ejercer en la vivienda una profesión colegiada el recurrente, por lo que, a su juicio, se ha vulnerado el art. 24.1 y el art. 24.2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patente contradicción sostiene el demandante de amparo, de un lado, que es inquilino que ejerce en la vivienda profesión colegiada (supuesto del art. 123.2 de la LAU), y, de otro, que la inquilina es su esposa, alegatos de los que pretende deducir, en primer lugar, que correspondiendo el conocimiento del proceso al Juez de Primera Instancia, se le privó de su derecho al Juez competente, y, en segundo lugar, que el proceso debió entenderse con su esposa y no con él, por lo que debió acogerse la excepción esgrimida a su tiempo de falta de legitimación pasiva.  Son estas excepciones, esgrimida una en el proceso civil (la de falta de legitimación pasiva) y rechazada en la primera instancia y consentida la decisión por el que ahora viene en amparo y no cuestionada la otra (la del derecho al Juez ordinario), en ninguna de las dos instancias, las que invocando los apartados 1 y 2 del art. 24 de la Constitución se traen ahora, con este ropaje constitucional, a este recurso, arguyendo que al no ser apreciada de oficio la falta de competencia por razón de la materia y al rechazarse la excepción de falta de legitimación pasiva, se ha violado el derecho al Juez predeterminado por la Ley y el derecho a la tutela judicial efectiva. Con lo que pudiera decirse acerca del manifiesto incumplimiento de lo que disponen los apartados b) y c) del núm.  1 del art.  44 de la LOTC, pues se aparta el recurrente de la vinculación fáctica que proclama el primero de los indicados apartados y se trae ex novo a sede constitucional el tema de los indicados párrafos 1 y 2 de la LOTC, es lo cierto que la mención de estos preceptos carece de toda consistencia y no pasa de una invocación vacía, pues el tratamiento de la competencia de los Jueces ordinarios, en el presente por razón de la materia, y el análisis de la legitimación pasiva como presupuesto de la válida constitución de la relación jurídico-procesal, no trasciende en casos como los actuales del ordinario juego de las reglas del proceso, y son bien ajenos a las proclamaciones constitucionales del derecho a la tutela judicial y del derecho a Juez ordinario, y justifican sobradamente la inmediata aplicación de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ejercicio del derecho que establece el art. 53 de la Constitución y los arts. 41 y siguiente de la LOTC para la protección de los derechos y libertades fundamentales no debe, ciertamente, ser obstaculizado con interpretaciones rigurosas o disuadido mediante apelaciones al sistema sancionador que contiene el art.  95 de la LOTC.  Mas la utilización abusiva del amparo, o la apelación temeraria a esta vía de protección constitucional, dilatando de facto la efectividad de los pronunciamientos jurisdiccionales en materia que son de la exclusividad de los Jueces y Tribunales (art.  117.3 de la Constitución) y generando la atención indebida de este Tribunal, con merma del respeto debido a las instituciones ha de ser sancionado en los términos que establece el indicado art. 95 en sus apartados 2 y 3, y en este sentido, es el presente un caso patente de temeridad merecedora a una condena en costas y a la sanción pecuniaria en el grado medio previsto en la última de las citadas reglas.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declara inadmisible el recurso de amparo de que se ha hecho mérito con imposición de las costas y una sanción pecuniaria de 50.000 pesetas al recurrente sin que, por otra parte, proceda la suspensión solicitada, atendida la declarada</w:t>
      </w:r>
    </w:p>
    <w:p w:rsidRPr="" w:rsidR="00AD51A7" w:rsidRDefault="008777C4">
      <w:pPr>
        <w:rPr/>
      </w:pPr>
      <w:r w:rsidRPr="&lt;w:rPr xmlns:w=&quot;http://schemas.openxmlformats.org/wordprocessingml/2006/main&quot;&gt;&lt;w:szCs w:val=&quot;24&quot; /&gt;&lt;/w:rPr&gt;">
        <w:rPr/>
        <w:t xml:space="preserve">inadmisibilidad.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septiembre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