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11 de septiembre de 1984, planteó conflicto positivo de competencia contra el Decreto del Gobierno de las Islas Baleares 25/1984, de 5 de abril, sobre régimen de computabilidad de títulos de renta fija en el coeficientes de fondos públicos de las Cajas de Ahorro,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19 de septiembre de 1984, se tuvo por planteado el conflicto y se dio traslado de la demanda al Gobierno de las Islas Baleares, teniéndose por producida la suspensión de la vigencia y aplicación del Decreto objeto del conflicto desde la fecha de su formalización, de conformidad con lo dispuesto en el art. 64.2 de la Ley Orgánica del Tribunal Constitucional (LOTC), lo que se participó al Presidente del Gobierno de las Islas Baleares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Gobierno de las Islas Baleares se personó y presentó escrito de alegaciones el 23 de octubre de 1984, en solicitud de que en su día se dicte Sentencia declarando que la competencia controvertida corresponde a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del Pleno de este Tribunal, de fecha 16 de enero del corriente, se acordó oír a las partes para que hicieran alegaciones en relación con el mantenimiento o levantamiento de la suspensión del Decreto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su escrito de 24 de enero último, cumplimenta el traslado conferido solicitando del Tribunal el mantenimiento de la suspensión de la disposición impugnada. Se alega en apoyo de esta petición que el levantamiento de la suspensión supondría la aplicación de la norma estatal -art. 1 del Real Decreto 2869/1980-, en concurrencia con la autonómica, hasta tanto se produzca un pronunciamiento definitivo, contrario a la competencia autonómica, generándose una situación de inseguridad jurídica, tanto para las partes en conflicto, como para las Entidades de crédito interesadas, y, además que la materia a que afecta la disposición objeto del conflicto -el sistema crediticio- es de indudable interés nacional. </w:t>
      </w:r>
    </w:p>
    <w:p w:rsidRPr="00C21FFE" w:rsidR="00AD51A7" w:rsidRDefault="008777C4">
      <w:pPr>
        <w:rPr/>
      </w:pPr>
      <w:r w:rsidRPr="&lt;w:rPr xmlns:w=&quot;http://schemas.openxmlformats.org/wordprocessingml/2006/main&quot;&gt;&lt;w:lang w:val=&quot;es-ES_tradnl&quot; /&gt;&lt;/w:rPr&gt;">
        <w:rPr/>
        <w:t xml:space="preserve">Por su parte el Gobierno de las Islas Baleares, en escrito de 24 de enero último, se manifiesta en defensa del levantamiento de la suspensión, en razón a que el Decreto en conflicto no conculca la legislación básica del Estado sobre la materia al respetar el orden de prioridades y el porcentaje máximo fijados por aquél, por lo que no afecta a la unidad del orden económico nacional, limitándose la incidencia al porcentaje que los recursos ajenos captados por la «Caja de Pensiones para la Vejez y de Ahorros de Cataluña y Baleares» en el territorio de la Comunidad Autónoma de las Islas Baleares supone en relación con el total de recursos ajenos captados.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Ante la necesidad de que el Tribunal se pronuncie acerca de la suspensión en su día acordada, por imperio del art.  161.2 de la C. E., en orden a la ratificación o alzamiento de aquella medida, al versar la disposición cuestionada sobre el régimen de computabilidad de títulos de renta fija en el coeficiente de fondos públicos de las Cajas de Ahorros, pone de relieve el Abogado del Estado en la presente fase incidental -reiterando lo que ya expuso en el escrito mediante el que se suscita el conflicto de competencia- la diferencia que existe entre lo que la referida disposición señala, en parangón con la normativa estatal que su representante estima aplicable, en el punto relativo al respectivo ámbito de aplicación, ya que en el primer caso las Cajas de Ahorros afectadas serán incluso aquellas que sin tener su domicilio social en el ámbito de la Comunidad Autónoma, desarrollen en ella su actividad, mientras que de acuerdo con la ordenación estatal, sólo lo serán las Cajas con sede central en el territorio de la respectiva Comunidad, de lo que se infiere que -caso de levantarse la suspensión- se generaría una situación de inseguridad jurídica, tanto para las partes en conflicto, como para las Entidades de crédito afectadas, tesis atendible por ello, frente a la cual decaen los argumentos aducidos por la representación del Ente Autonómico, ya que en este instante, y por estar reservada su solución al momento de la decisión final de este conflicto, ha de marginarse lo que afecta al cumplimiento del requisito de la temporalidad en su promoción -acerca de lo que discrepan las partes-, sucediendo lo propio en cuanto a si la disposición de que se trata conculca o no la legislación básica del Estado sobre la materia; y sin que, finalmente, posea entidad suficiente a los fines pretendidos, la invocación de lo limitado del alcance del Decreto autonómico, en relación con un total de recursos ajenos captados por determinada Caja de Ahorros.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el Tribunal acuerda mantener la suspensión acordada en este conflicto de competencia en 19 de septiembre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las Islas Baleares».</w:t>
      </w:r>
    </w:p>
    <w:p w:rsidRPr="" w:rsidR="00AD51A7" w:rsidRDefault="008777C4">
      <w:pPr>
        <w:rPr/>
      </w:pPr>
      <w:r w:rsidRPr="&lt;w:rPr xmlns:w=&quot;http://schemas.openxmlformats.org/wordprocessingml/2006/main&quot;&gt;&lt;w:szCs w:val=&quot;24&quot; /&gt;&lt;/w:rPr&gt;">
        <w:rPr/>
        <w:t xml:space="preserve">Madrid, a 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