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14 de enero de 1985, don Juan Castro de la Torre solicita que se le abonen los atrasos incrementados en los intereses legales y el ingreso mensual en nomina para el futuro, correspondientes a la Cruz de la Real y Militar Orden de San Hermenegildo, que le fue concedida por Orden ministerial de 5 de octubre de 1959 y cuya Asamblea le dio de baja de la misma por acuerdo de 5 de febrero de 197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el demandante, aparte de que tal acuerdo no fue publicado y se funda en hechos anteriores a la concesión de la mencionada distinción, la desposesión de la citada Cruz equivale a una sanción retroactiva, no favorable o restrictiva, prevista en el art. 9.3 de la Constitución, añadiendo que la decisión de la Asamblea de la Orden mencionada vulnera de alguna manera el art. 33.3 de la misma Cart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día 20 de febrero la Sección acordó tener por recibido el escrito del señor Castro, así como hacerle saber la concurrencia del motivo de inadmisión de carácter subsanable consistente en la falta de postulación, al no estar representado por Procurador ni actuar bajo la dirección de Letrado, según lo dispuesto en el art. 81.1 de la Ley Orgánica del Tribunal Constitucional (LOTC), por lo que, en virtud de lo dispuesto en el art. 85.2 de la citada Ley Orgánica, se concedió al recurrente un plazo de diez días, a fin de que, dentro del mismo, procediera a la subsanación del defecto procesal indicado, advirtiéndole que, verificada dicha subsanación, se podría pasar al trámite de inadmisión que establece el art. 50 de la LOTC, por la posible concurrencia de los siguientes motivos de carácter insubsanable: a) ser la demanda defectuosa al no haberse agotado la vía judicial procedente [art. 50.1 b) de la LOTC, en relación con el art. 43.1, in fine, del mismo texto legal]; b) deducirse la demanda respecto de derechos o libertades no susceptibles de amparo constitucional [art. 50.2 a)], y c) carecer la demanda manifiestamente de contenido que justifique una decisión por parte del Tribunal Constitucional [art. 50 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Transcurrido ampliamente el plazo concedido al recurrente en providencia del pasado día 20 de febrero sin que el mismo procediera a subsanar el defecto de falta de postulación, esta circunstancia produce, conforme a una ya reiterada jurisprudencia de este Tribunal, la caducidad del recurso, sin necesidad de entrar a examinar los otros posibles motivos de inadmisión de la demanda, pues, en realidad, no se trata de una causa de inadmisión insubsanable o no subsanada, sino de la ausencia del requisito previo para proceder al propio enjuiciamiento de la admis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estimar producida la extinción del proceso abierto por el escrito de demanda formulado por don Juan Castro de la Torr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