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julio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incidental de justicia gratuita del recurso de amparo promovido por don Roberto Goyanes Fernández.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28 de enero pasado, don Roberto Goyanes Fernández solicitó de este Tribunal que se le nombrase Abogado y Procurador de oficio para formalizar un recurso de amparo, acordándose por providencia de 27 de febrero el nombramiento solicitado; efectuado el cual, por otra providencia de 10 de abril se dispuso que los colegiados designados formalizasen las demandas de amparo y gratuidad, lo que efectivamente realizaron.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Formada pieza separada para sustanciar la pretensión incidental de gratuidad se acordó oír al Ministerio Fiscal y al Abogado del Estado quienes nada han opuesto a la concesión del beneficio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la demanda incidental de justicia gratuita y de los documentos acompañados a la solicitud de amparo aparece que el solicitante fue declarado insolvente en el previo proceso judicial, hallándose en prisión y careciendo de bienes y de ingresos; se halla, por tanto, ostensiblemente incluido en el supuesto previsto en el art.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otorgar a don Roberto Goyanes Fernández el beneficio de gratuidad para litigar en este proceso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julio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