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653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dimanante del recurso de amparo núm. 525/1985, promovido por «Sociedad Ibérica de Construcciones y Obras Públicas,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«Sociedad Ibérica de Construcciones y Obras Públicas, Sociedad Anónima», interpuesto el 11 de junio demanda de amparo respecto de la Sentencia pronunciada por el Juez de Primera Instancia núm. 16 de Madrid, en fecha 23 de mayo actual, por la que se declara mal admitida la apelación interpuesta por la representación de la Entidad demandada «Sicops, Sociedad Anónima», contra la Sentencia de fecha 12 de diciembre de 1984, dictada por el señor Juez de Distrito núm. 13 de esta capital en los autos de juicio de desahucio por falta de pago de la renta a que se refiere el recurso y, en consecuencia, declara firme dicha resolución; sin hacer expresa condena de las costas de esta 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propia demanda, la Sociedad actora había solicitado la suspensión de la ejecución de la Sentencia impugnada alegando que, de procederse a la ejecución de la resolución de desahucio, el lanzamiento del local arrendado, que sería su consecuencia, entrañaría tan grave perjuicio a la parte,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Previa audiencia de la demandante y el Ministerio Fiscal, la Sección de Vacaciones de este Tribunal, con fecha 7 de agosto pasado, dictó Auto acordando la suspensión si bien condicionada a la prestación de afianzamiento por cuantía de 1.000.000 de pesetas. </w:t>
      </w:r>
    </w:p>
    <w:p w:rsidRPr="00C21FFE" w:rsidR="00AD51A7" w:rsidRDefault="008777C4">
      <w:pPr>
        <w:rPr/>
      </w:pPr>
      <w:r w:rsidRPr="&lt;w:rPr xmlns:w=&quot;http://schemas.openxmlformats.org/wordprocessingml/2006/main&quot;&gt;&lt;w:lang w:val=&quot;es-ES_tradnl&quot; /&gt;&lt;/w:rPr&gt;">
        <w:rPr/>
        <w:t xml:space="preserve">Dicho Auto exponía como fundamento que, eventualmente, podría ocasionar un perjuicio con dificultades de reparación la ejecución de la Sentencia de desahucio, si en la hipótesis de la estimación del amparo y sometido el asunto al juicio del Tribunal de apelación, éste estimare la pretensión impugnatoria de la Sentencia apelada, para cuya hipótesis no carecía de fundamento la suspensión pedida, y a la que no se había opuesto el Ministerio Fiscal, si bien entendido que debía darse con el carácter de modificable en los términos del art. 57 de la LOTC, a instancia de la otra parte o de oficio, si así procediera, y condicionada a la constitución de garantía en cuantía de 1.000.000 de pesetas para responder de los perjuicios que de la suspensión pudieran derivarse a la otra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dicho Auto, interpuso recurso de súplica la representación de la demandante alegando que no consideraba identificables cuáles pudieran ser los daños y perjuicios que la suspensión podía originar. La única persona que podría quedar afectada por ella sería el arrendador del piso, cuyo desahucio fue en su día decretado a su favor, mas esto tan sólo en el caso de que la arrendataria hubiese dejado de satisfacer puntualmente las rentas mensuales de alquiler correspondientes, lo que no se da en el presente caso. Por otra parte, el arrendador nunca podrá correr el riesgo de perder o al menos retrasar el cobro de los alquileres pactados, pues siempre tiene a su disposición el remedio que para evitar tal evento le otorga el art. 1.567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12 de septiembre se acordó, de conformidad con lo dispuesto en el art. 93.2 de la Ley Orgánica de este Tribunal, otorgar un plazo común de tres días al Ministerio Fiscal y a la representación de la demandante para que pudieran alegar lo que estimasen procedente. </w:t>
      </w:r>
    </w:p>
    <w:p w:rsidRPr="00C21FFE" w:rsidR="00AD51A7" w:rsidRDefault="008777C4">
      <w:pPr>
        <w:rPr/>
      </w:pPr>
      <w:r w:rsidRPr="&lt;w:rPr xmlns:w=&quot;http://schemas.openxmlformats.org/wordprocessingml/2006/main&quot;&gt;&lt;w:lang w:val=&quot;es-ES_tradnl&quot; /&gt;&lt;/w:rPr&gt;">
        <w:rPr/>
        <w:t xml:space="preserve">La parte demandante ha reiterado sus objeciones insistiendo en la inoperancia del afianzamiento. Si se tratase de cualquier otra clase de desahucio -expone-, la medida tendría plena justificación, pues salta a la vista que la suspensión de la ejecución de la Sentencia que lo decreta podía irrogar perjuicios económicos a la otra parte. Sin embargo, precisamente cuando se basa, como es el caso que ahora se contempla, en la falta de pago de las rentas pactadas y éstas siguen satisfaciéndose mensualmente mediante su consignación judicial, sea cualquiera la resolución que en su día adopte este Tribunal, no puede determinarse qué clase de perjuicio podría tener el arrendador, por lo que el afianzamiento decretado carece de objeto y finalidad. </w:t>
      </w:r>
    </w:p>
    <w:p w:rsidRPr="00C21FFE" w:rsidR="00AD51A7" w:rsidRDefault="008777C4">
      <w:pPr>
        <w:rPr/>
      </w:pPr>
      <w:r w:rsidRPr="&lt;w:rPr xmlns:w=&quot;http://schemas.openxmlformats.org/wordprocessingml/2006/main&quot;&gt;&lt;w:lang w:val=&quot;es-ES_tradnl&quot; /&gt;&lt;/w:rPr&gt;">
        <w:rPr/>
        <w:t xml:space="preserve">Esto, sin tener en cuenta que en el supuesto de impago de las rentas, se alzaría automáticamente la suspensión acordada a virtud de lo dispuesto en el art. 1.567 de la Ley de Enjuiciamiento Civil. </w:t>
      </w:r>
    </w:p>
    <w:p w:rsidRPr="00C21FFE" w:rsidR="00AD51A7" w:rsidRDefault="008777C4">
      <w:pPr>
        <w:rPr/>
      </w:pPr>
      <w:r w:rsidRPr="&lt;w:rPr xmlns:w=&quot;http://schemas.openxmlformats.org/wordprocessingml/2006/main&quot;&gt;&lt;w:lang w:val=&quot;es-ES_tradnl&quot; /&gt;&lt;/w:rPr&gt;">
        <w:rPr/>
        <w:t xml:space="preserve">Por su parte, el Ministerio Fiscal ha expuesto en primer lugar que las rentas que se consignaron (y, lógicamente, las que se vienen pagando) no son las debidas; de ahí el desahucio acordado por el Juez de instancia, por una parte, y, por otra, la inadmisión de la apelación por el ad quem al no hacerse la consignación que correspondía; esto es, hay una diferencia dineraria entre lo pagado y lo debido (según declaración judicial) que se va a extender durante la tramitación del recurso de amparo y que es prudente asegurar que el arrendador no deje de percibir. Y, en segundo término, que el art. 1.567 de la Ley de Enjuiciamiento Civil ofrece el remedio a que alude la recurrente para los casos de casación e incidentes, pero no para un medio impugnatorio excepcional como es el de amparo. </w:t>
      </w:r>
    </w:p>
    <w:p w:rsidRPr="00C21FFE" w:rsidR="00AD51A7" w:rsidRDefault="008777C4">
      <w:pPr>
        <w:rPr/>
      </w:pPr>
      <w:r w:rsidRPr="&lt;w:rPr xmlns:w=&quot;http://schemas.openxmlformats.org/wordprocessingml/2006/main&quot;&gt;&lt;w:lang w:val=&quot;es-ES_tradnl&quot; /&gt;&lt;/w:rPr&gt;">
        <w:rPr/>
        <w:t xml:space="preserve">Parece, por tanto, que el arrendador puede sufrir eventuales perjuicios con la suspensión y que son la razón del afianzamiento decretado según permite el art. 56.2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recurso de súplica no desvirtúa la razón fundamental que se tuvo en cuenta para condicionar la suspensión a la constitución de un afianzamiento suficiente para cubrir los perjuicios que el arrendador podría sufrir con dicha suspensión.  El fundamento de la demandante se concreta en que es bastante garantía la consignación mensual de las rentas.  El que el Tribunal aprecia en cuanto posible perjuicio a evitar consiste en cubrir la diferencia pecuniaria que existe entre lo que el arrendatario cree deber y consigna, y lo que el Juzgado ha acordado en su Sentencia como cuantía de la renta debida. Por otra parte, desde el punto de vista del demandante de amparo no se aprecia que el afianzamiento puede generarle otro gravamen que el implícito en su sola constitución, sin que puedan derivarle perjuicios, ya que la fianza le sería devuelta o no sería aplicada si prosperasen sus pretensiones.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no haber lugar al recurso de súplica interpuesto por «Sociedad Ibérica de Construcciones y Obras Públicas, Sociedad Anónima».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