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inconstitucicnalidad, admitida a trámite, en relación con la Ley 5/1983, de 29 de junio, de Medidas Urgentes en Materia Presupuestaria, Financiera y Tributaria, en su disposición adicional 6º, n°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580/85,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