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inconstitucionalidad, admitida a trámite, en relación con la Ley 5/1983, de 29 de junio, de Medidas Urgentes en Materia Presupuestaria, Financiera y Tributaria, en su disposición adicional 6ª, nº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corriente,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como en las demás planteadas y admitidas, se han personado el Abogado del Estado, en nombre del Gobierno, y el Fiscal General del Estado. Solicita el primero la acumulación, al darse la conexión objetiva prevista en el artículo 83 de la LOTC, a las señaladas en el Antecedente número 2 ya acumuladas; el Fiscal General del Estado considera más oportuna que la acumulación, a la que por otra parte no se opone porque es posible al existir conexión objetiva, la suspensión de la tramitación hasta que recaiga sentencia en las cuestiones ya acumuladas antes citadas, atendidos los efectos que dicha sentencia pueda tener en la presente cuestión según lo dispuesto en el artículo 38 de la LOTC y anteriores resoluciones de este Tribunal en las que se acordó en casos similares a los contemplados ahora, la suspensión hasta que recayera sentencia en cuestiones conclusas.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todavía no se ha resuelto el trámite de acumulación solicitado,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implicadas en tanto se sustancia aquel. Resulta aconsejable en tal supuesto acordar la suspensión del curso del presente proceso, sin acceder a la acumulación, a fin de facilitar la decisión definitiva en las cuestiones acumuladas, teniendo en cuenta que la Sentencia que recaiga surtirá efectos en las demás promovidas, de conformidad a lo dispuesto en el artículo 38 de la LOTC.</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645/85,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