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relación con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escritos de 18 y 20 de junio de 1985, don Oscar Salazar Valbuena y don José Navarro Rodríguez manifiestan que interponen recurso de amparo por el que solicitan se declare inconstitucional el Acuerdo adoptado por el Ayuntamiento de Motril en virtud del cual se implanta un recargo del 5 por 100 sobre el Impuesto sobre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septiembre de 1985 se otorgó un plazo a los recurrentes con objeto de que pudieran subsanar los defectos procesales consistentes en falta de postulación, ser la demanda defectuosa, y no acreditar haber agotado la vía judicial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no han subsanado los defectos advertidos en el plazo otorgado al efecto ni han efectuado manifestación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Ley Orgánica del Tribunal Constitucional establece en su art. 81.1 que los legitimados para promover un recurso de amparo han de hacerlo representados por Procurador y bajo la dirección del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El incumplimiento del mencionado requisito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En el presente caso los solicitantes de amparo no han comparecido en la forma legalmente establecida ni han subsanado la falta de postulación en el plazo concedido.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estimar producida la extinción del proceso abierto por los escritos de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