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octubre de 1985 tuvo entrada en este Tribunal Constitucional la demanda de amparo interpuesta por la Procuradora doña Encarnación Alonso León, en representación de don Giovanni Walter Mazzolenni, contra la providencia de la Sección Tercera de la Audiencia Nacional, dictada el 24 de octubre de 1985 en el Expediente Gubernativo de Extradición núm. 18/1984. Dicha providencia no dió lugar a la solicitud de suspensión de extradición del recurrente, que la Sección Tercera de la Audiencia Nacional había acordado por Auto núm. 31 de 26 de noviembre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representante del recurrente se presentó en estas actuaciones con fecha 7 de noviembre de 1985 solicitando se tenga al mismo por desistido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noviembre de 1985 la Sección dispuso tener por presentados ambos escritos y dar traslado al Ministerio Fiscal por el plazo de diez días para que alegue lo que estime oportuno con relación al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presentación del 22 de noviembre de 1985, manifestó su conformidad con la terminación de este proceso constitucional por desistimiento del actor y la ausencia de interés público para su continuación.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desistimiento del demandante reúne los requisitos establecidos en los arts. 409 y 410 L.E.C., aplicables al caso por imperativo del art. 80 LOTC, dado que la Procuradora tiene otorgada la facultad expresa de desistir, según consta en el poder acompañado a la demanda de amparo. En consecuencia debe tenerse por desistido al recurrente de conformidad con lo expuesto por el Ministerio Fiscal, ya que, como el mismo Ministerio Fiscal señala, no existe un interés público para que continúe la tramitación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acordó tener por desistido y apartado del procedimiento al demandante del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