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915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la pieza de justicia gratuita del recurso de amparo promovido por don Juan Vicente Gómez Pascual.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abril pasado tuvo entrada en este Tribunal un escrito en el que don Juan Vicente Gómez Pascual solicitaba la designación de Abogado y Procurador a fin de interponer recurso de amparo contra Sentencia dictada en juicio de faltas por el Juzgado de Distrito núm. 1 de Almería con fecha 25 de marzo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12 de junio se recabó el nombramiento de Abogado y Procurador de oficio y por otra de 10 de julio se requirió a los ya designados para que formalizasen las demandas de amparo y justicia gratuita, lo que realizaron, formándose pieza separada para sustanciar la segunda y en la que, por providencia de 13 de noviembre se acordó oir al Letrado del Estado y al Ministerio Fiscal acerca de la concesión del beneficio solicitado, habiendo mostrado ambos su conformidad a tal concesión.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 la reducida fundamentación de la demanda de justicia gratuita y justificación ofrecida aparece que el demandante percibe los ingresos propios de su profesión de Cabo de la Armada Española sin que conste que tenga otros, por lo que se halla comprendido en el supuesto previsto en el art. 14 de la Ley de Enjuiciamiento Civil.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otorgar a don Juan Vicente Gómez Pascual el beneficio de gratuidad para litigar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