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148</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15 de noviembre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la cuestión de inconstitucionalidad núm. 249-2022, planteada por el Juzgado de lo Contencioso-Administrativo núm. 2 de Alicante, respecto del art. 29.3 a) de la Ley 40/2015, de 1 de octubre, de régimen jurídico del sector público, por posible vulneración del art. 25.1 CE,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enero de 2022 tuvo entrada en el registro de este tribunal un oficio del Juzgado de lo Contencioso-Administrativo núm. 2 de Alicante al que se acompañaba, además del testimonio de las actuaciones seguidas en los autos del procedimiento abreviado núm. 171-2021, el auto de 1 de diciembre de 2021 por el que se acordaba promover una cuestión de inconstitucionalidad respecto de los preceptos citados en el encabezamiento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director general de Recursos Humanos de la Consejería de Sanidad Universal y Salud Pública de la Generalitat valenciana incoó un expediente disciplinario contra una inspectora médica —funcionaria interina en plaza vacante— por la presunta comisión de una infracción administrativa prevista en el art. 142.1 letra c) de la Ley 10/2010, de 9 de julio, de ordenación y gestión de la función pública valenciana (hoy derogada), que sancionaba “las conductas constitutivas de delito doloso relacionados con el servicio que causen daños a la administración o a la ciudadanía y que no constituyen falta muy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la resolución de incoación se declaraba, en el “Resuelvo” III, la remisión de la documentación al Ministerio Fiscal respecto al hecho tercero, así como la suspensión de la tramitación del procedimiento disciplinario.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proceso penal se enjuició en el Juzgado de lo Penal núm. 2 de Benidorm, autos núm. 135-2015, y terminó con sentencia condenatoria, cuyos hechos probados eran los siguientes: “La acusada […] el día 9 de enero de 2014, guiada por el deseo de presentar una reclamación patrimonial contra la Administración como consecuencia del fallecimiento de su madre, habiendo prescrito el plazo para la presentación de dicha reclamación, alteró el registro de entrada de la Inspección médica de Denia, añadiendo a la anotación 24 (en la que aparecía registrado con fecha 9 de enero de 2014 un documento correspondiente a una resolución del INSS, relativa a una determinación de contingencia de un proceso de IT del trabajador de iniciales S.A.E.), otra anotación registrada con un número 24, relativa a la citada reclamación de responsabilidad patrimonial firmada por ella, como consecuencia del fallecimiento de su madre que tuvo lugar el día 11 de enero de 2013, a la vez que utilizó los cuños del registro oficial para sellar su propia reclamación personal, y con fecha 20 de enero de 2014 volvió a manipular el registro oficial al introducir de su puño y letra un registro personal, aprovechando que los funcionarios competentes del registro oficial no estaban”. La Sección Tercera de la Audiencia Provincial de Alicante, en el recurso de apelación núm. 340/2018, confirmó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Una vez se acordó levantar la suspensión de la tramitación del expediente disciplinario, el instructor formuló pliego de cargos, ofreciendo a la interesada un plazo de diez días para que presentara las alegaciones que considerara oportunas. La expedientada, aunque ni solicitó ni ejerció su derecho al trámite de vista del expediente, sí presentó escrito de alegaciones el día 12 de febrero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directora general de Recursos Humanos de la Consejería de Sanidad Universal y Salud Pública de la Comunitat Valenciana dictó resolución el 22 de diciembre de 2020, por la que declaró a la expedientada responsable de una infracción grave tipificada en el art. 142.1 c) de la Ley 10/2010, de 9 de julio, de ordenación y gestión de la función pública valenciana, imponiéndole de conformidad con lo establecido en el art. 145.1 apartado b) primero, la sanción de dos años de suspensión firme de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142.1 c) de la Ley 10/2010, por el que fue sancionada la recurrente tipifica como infracción grave “las conductas constitutivas de delito doloso relacionadas con el servicio y que causen daño a la administración o a la ciudadanía y que no constituyan infracción muy grave”. Asimismo, el art. 145 de la Ley 10/2010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145. Relación entre las faltas y las sanciones.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De acuerdo con la gravedad de las faltas cometidas por el personal funcionario público pueden imponerse las siguientes sanciones: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faltas graves: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La suspensión de funciones y retribuciones, por un periodo de entre 15 días y 3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El traslado forzoso con cambio de localidad por un periodo de hasta un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El traslado forzoso sin cambio de localidad.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El demérito, que podrá consistir en alguna de las siguientes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pérdida de un grado en el sistema de carrera horizontal y la privación del derecho a ser evaluado para el ascenso de grado, por un periodo de hasta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imposibilidad de participar en procedimientos de provisión de puestos o de promoción interna, por un periodo de hasta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 prohibición de ocupar puestos de jefatura, por un periodo de hasta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Para determinar la sanción concreta, y dentro del margen permitido por el art. 145 de la Ley 10/2010, la directora general de Recursos Humanos tuvo en cuenta los criterios establecidos en el art. 29.3 de la Ley 40/2015, de 1 de octubre, de régimen jurídico del sector público, según el cual la graduación concreta de la sanción se efectuará teniendo en cuenta el grado de culpabilidad o la existencia de intencionalidad, la continuidad o persistencia en la conducta infractora, la naturaleza de los perjuicios causados y la reincidencia por la comisión en el término de un año de más de una infracción de la misma naturaleza cuando así haya sido declarado por resolución firme en vía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que advertir que la Ley 10/2010 por la que se sancionó a la funcionaria interina fue derogada por la Ley 4/2021, de 16 de abril, de la función pública valenciana. No obstante, el ya derogado art. 145.1 apartado b) primero de la Ley 10/2010 —en virtud del cual fue sancionada la inspectora médica— es de idéntica redacción al vigente art. 174.1 b) de la Ley 4/2021, de 16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resolución recaída en el procedimiento disciplinario fue objeto de recurso contencioso-administrativo por la sancionada, que se tramitó a través del procedimiento abreviado núm. 171-2021, seguido ante el Juzgado Contencioso-Administrativo núm. 2 de Alicante. En la demanda se alegó por la recurrente, además de la falta de legitimación activa de la administración y la pasiva de la recurrente por no existir vínculo funcionarial, la vulneración del principio ne bis in idem al haber sido sancionada en vía administrativa disciplinaria por los mismos hechos por los que había sido condenada en el proceso penal; así como la vulneración del principio de proporcionalidad en la determinación de la gravedad de la infracción, tanto en la calificación como grave como respecto de la gravedad de la sanción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concluso el procedimiento, por providencia de 1 de octubre de 2021 se acordó por el Juzgado de lo Contencioso-Administrativo núm. 2 de Alicante abrir el trámite de alegaciones al que se refiere el art. 35.2 de la Ley Orgánica del Tribunal Constitucional (LOTC), dando audiencia a las partes y al Ministerio Fiscal sobre la procedencia de plantear cuestión de inconstitucionalidad respecto del art. 29.3 a) de la Ley 40/2015, de 1 de octubre, de régimen jurídico del sector público, por ser contrario 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documentación remitida por el juzgado, no consta que la representación de la parte actora presentara alegaciones. Tanto el Ministerio Fiscal como la abogada de la Generalitat se opusieron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adujo en su escrito que no concurría el presupuesto procesal del juicio de relevancia sobre la validez constitucional del precepto legal respecto del que el órgano judicial solicitaba audiencia a las partes acerca de la procedencia de plantear la cuestión, por no resultar debidamente justificado que en la resolución sancionadora se hubiera aplicado el criterio de graduación previsto en dicho precepto para agravar la sanción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se opuso al planteamiento de la cuestión de inconstitucionalidad aduciendo que el art. 29.3 a) de la Ley 40/2015, de 1 de octubre, no es contrario 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auto de 1 de diciembre de 2021, el Juzgado de lo Contencioso-Administrativo núm. 2 de Alicante acordó plantear cuestión de inconstitucionalidad ante el Tribunal Constitucional respecto del art. 29.3 a) de la Ley 40/2015, de 1 de octubre, de régimen jurídico del sector público por su posible incompatibilidad con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de la cuestión de inconstitucionalidad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sintetizar los antecedentes fácticos más relevantes, enumera los siguientes preceptos que, a su juicio, “deben ser examinados” en la presente cuestión de inconstitucionalidad: (i) el art. 25.1 CE que dispone que “nadie puede ser condenado o sancionado por acciones u omisiones que en el momento de producirse no constituyan delito, falta o infracción administrativa, según la legislación vigente en aquel momento”; (ii) el art. 28.1 de la Ley 40/2015, que establece: “1. Solo podrán ser sancionadas por hechos constitutivos de infracción administrativa las personas físicas y jurídicas […] que resulten responsables de los mismos a título de dolo o culpa”; (iii) el art. 29 de la Ley 40/2015, trascrito anteriormente.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razona acerca del juicio de aplicabilidad respecto del que, en esencia, concluye que para la resolución del recurso es necesario aplicar el art. 29.3 a) de la Ley 40/2015 porque en dicho precepto se contienen los criterios de graduación de la sanción a imponer. Afirma que en materia sancionadora rigen, con matices, los principios que informan el derecho penal puesto que las leyes de procedimiento administrativo no contienen reglas de graduación de las sanciones, a diferencia de lo que sucede en el ámbito del derecho penal, en el que el art. 66 del Código penal establece una serie de reglas para aplicar o concretar las penas. Así, la regla tercera del art. 66.1 dispone que “cuando concurra solo una o dos circunstancias agravantes, se aplicará la pena en la mitad superior a la que fije la ley para el delito”. El juzgado aduce que, aplicando este precepto del Código penal, la apreciación del criterio de graduación establecido en el art. 29.3 a) de la Ley 40/2015, conlleva tener que aplicar la sanción administrativa en su mitad superior, impidiendo al órgano jurisdiccional imponer una sanción por debajo de dicho límite en atención a las circunstancias concurrentes. Y razona seguidamente: “La valoración de si una conducta es constitutiva de infracción administrativa, la imposición de sanciones y la observancia del principio de proporcionalidad, quedan dentro de la cobertura del principio de legalidad consagrado en el artículo 25.1 de la CE. De las dos vertientes del principio de legalidad, la valoración de los hechos constitutivos de infracción administrativa y la imposición de sanciones, con la consiguiente graduación de las mismas, queda enmarcada dentro de la manifestación material del principio de legalidad, representado por el principio de tipicidad.” Concluye afirmando que “la norma observada resulta de aplicación a la hora de graduar la sanción a imponer a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juicio de relevancia, el juzgado mantiene que el art. 29.3 a) de la Ley 40/2015 es esencial para la resolución del proceso judicial porque de su contenido depende la determinación de la sanción que deba imponerse a la recurrente, en el buen entendido que no es lo mismo imponer una sanción de suspensión de funciones de uno o dos meses que de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que manifiesta el órgano jurisdiccional viene referida a la doble utilización de un mismo concepto, el de la culpabilidad, tanto como elemento para determinar la infracción administrativa como en circunstancia a tener en cuenta para agravar la sanción a imponer. Argumenta que el art. 28 de la Ley 40/2015, al enunciar el principio de responsabilidad, exige que los sujetos sancionados resulten responsables de los hechos cometidos a título de dolo o culpa. La resolución sancionadora que es objeto del proceso contencioso-administrativo califica la conducta de la sancionada como dolosa en el apartado dedicado al “juicio de culpabilidad”. Debido precisamente a que el dolo es siempre sinónimo de intencionalidad —no así en casos de culpa o negligencia, en los que se pueden tener en cuenta los distintos grados de culpa a la hora de graduar la sanción—, cuando la conducta se califica de dolosa y, además, el art. 29.3 a) de la Ley 40/2015 considera como criterio de graduación de la sanción “el grado de intencionalidad o la existencia de intencionalidad”, se utiliza el concepto de culpabilidad no solo para considerar que se ha cometido una infracción administrativa, sino también para agravar la sanción a imponer.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órgano judicial la decisión acerca de la constitucionalidad del art. 29.3 a) de la Ley 40/2015 “tiene enorme relevancia, ya que obliga al órgano jurisdiccional a aplicar la sanción en su mitad superior, teniendo en cuenta lo dispuesto en el artículo 66.1.3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expuestos los juicios de aplicabilidad y relevancia, el órgano judicial insiste en que la culpabilidad, o es un elemento de la infracción o una circunstancia agravante, no siendo posible —so pena de lesionar el art. 25 CE en cuanto integra la garantía del principio non bis in idem— que un mismo concepto se utilice para determinar si existe o no responsabilidad y si, acreditada esta, para agravar la sanción a imponer.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julio de 2022, el Pleno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16 de septiembre de 2022 en el que interesa que se dicte auto inadmitiendo la presente cuestión de inconstitucionalidad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referirse a los antecedentes del proceso judicial así como al contenido del auto de planteamiento que ha dado origen a este proceso constitucional, afirma que la cuestión de constitucionalidad que subyace es la posible vulneración del principio de legalidad en la vertiente de la garantía material de tipicidad, en cuanto abarca la proporcionalidad de la sanción en la medida en que se produce la doble utilización del mismo concepto, la culpabilidad, como elemento de configuración del tipo y, además, como un criterio o circunstancia para agravar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art. 25.1 CE no enuncia de forma expresa el principio ne bis in idem, el Tribunal Constitucional, desde la STC 2/1981, ha afirmado que aquel forma parte del contenido del principio de legalidad penal y sancionadora del art. 25 CE. Dicho principio se reconoce también como derecho fundamental en diversos tratados internacionales (art. 4 del Protocolo 7 del Convenio europeo de derechos humanos y en art. 14.7 del Pacto internacional de derechos civiles y políticos) así como en el ámbito de la Unión Europea (art. 50 de la Carta de los derechos fundamentales de la Unión Europea). De acuerdo con la doctrina constitucional la garantía material del principio trata de evitar “una reacción punitiva desproporcionada, en cuanto esa dualidad sancionadora hace quebrar la garantía del ciudadano de previsibilidad de las sanciones […], dado que la suma de sanciones por el mismo hecho da lugar a una sanción ajena al principio de proporcionalidad realizado por el legislador al tipificar la infracción y su correlativa sanción” (STC 2/2003,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por lo que se refiere al principio de proporcionalidad, el fiscal general del Estado cita y transcribe buena parte del FJ 3 de la STC 74/2022 según la cual corresponde al legislador en exclusiva configurar el sistema de infracciones y sanciones, limitándose el juicio de constitucionalidad “a verificar que la norma penal no produzca ‘un patente derroche inútil de coacción que convierta a la norma en arbitraria y que socava los principios elementales de justicia inherentes a la dignidad de la persona y al Estado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proporcionalidad de la sanción que el órgano judicial imputa, como ya se ha expuesto, a la doble utilización del concepto de culpabilidad como elemento integrante de la infracción administrativa y como circunstancia de agravación no responde, según el fiscal general del Estado, a una correcta fundamentación jurídica. Frente a lo argumentado por el órgano judicial en el auto de planteamiento, aduce el Ministerio Público que el art. 28 de la Ley 40/2015, en tanto establece que “solo podrán ser sancionadas por hechos constitutivos de infracción administrativa las personas físicas y jurídicas, así como, cuando una ley les reconozca capacidad de obrar, los grupos de afectados, las uniones y entidades sin personalidad jurídica y los patrimonios independientes o autónomos, que resulten responsables de los mismos a título de dolo o de culpa”, enuncia el principio de responsabilidad subjetiva que, con carácter general, debe regir en materia sancionadora administrativa. No cabe sostener, por tanto, que el elemento de la intencionalidad o dolo del sujeto sea un elemento configurador de la infracción administrativa y, a su vez, un criterio de agravación, ya que lo que se contiene en el art. 28 es, simplemente, el principio general de responsabilidad subjetiva, pero no un elemento definidor del tipo. Partiendo de esta premisa, el fiscal general del Estado considera que corresponde a los órganos judiciales determinar, con base en el art. 29.3 de la Ley 40/2015, la adecuada y proporcionada sanción a imponer dentro del marco establecido legalmente, sin que deban aplicarse por analogía las reglas específicas previstas en el Código penal. Por ello, aunque se aprecie que concurre la circunstancia de agravación de la intencionalidad, el juez no debe imponer la sanción en la mitad superior por preverse así en el caso de las penas ya que no existe norma administrativa alguna en la que se establezca tal regla.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rechazado el carácter fundado de la alegación de inconstitucionalidad formulada por el órgano judicial en los términos antes expuestos, el fiscal general del Estado se pronuncia también acerca de la inviabilidad de la cuestión planteada si se atiende al concreto objeto del proceso subyacente. Se aduce al respecto que, en el caso de origen, corresponde al órgano judicial resolver si la resolución impugnada podría incurrir en falta de proporcionalidad en cuanto a la sanción impuesta por dualidad sancionadora al haberse apreciado, en su caso, la intencionalidad de la conducta para imponer una sanción de dos años de suspensión por la infracción prevista en el art. 142.1 c) de la Ley 10/2010, que tipifica como infracción grave las conductas constitutivas de delito doloso relacionadas con el servicio que causen daño a la administración y la ciudadanía. Según el fiscal general del Estado, sin perjuicio de que no se desprende de la resolución sancionadora que la administración haya aplicado el precepto cuestionado, no resulta viable el planteamiento de la cuestión de inconstitucionalidad para suscitar la posible invalidez del art. 29.3 a) con carácter general y con independencia de la concreta infracción administrativa impuesta por la administración.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se plantea por el Juzgado de lo Contencioso-Administrativo núm. 2 de Alicante y tiene por objeto examinar la adecuación a la Constitución del art. 29.3 a) de la Ley 40/2015, de 1 de octubre, de régimen jurídico del sector público, que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29. Principio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determinación normativa del régimen sancionador, así como en la imposición de sanciones por las Administraciones Públicas se deberá observar la debida idoneidad y necesidad de la sanción a imponer y su adecuación a la gravedad del hecho constitutivo de la infracción. La graduación de la sanción considerará especialmente los siguientes criterios: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grado de culpabilidad o la existencia de intencionalidad”.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expuesto con detalle en los antecedentes, el órgano judicial considera que dicho precepto puede ser contrario al art. 25.1 CE en cuanto que, según razona, permite la doble utilización de un mismo concepto, el de la culpabilidad, tanto como elemento para determinar la concurrencia de la infracción administrativa como en la circunstancia o criterio a tener en cuenta para agravar la sanción a imponer. Sostiene que el art. 29.3 a) establece el grado de culpabilidad como criterio para agravar la sanción, a pesar de que el art. 28 del mismo texto legal ya establece la culpabilidad como elemento definidor de la infracción administrativa. De estas premisas concluye que la aplicación analógica al ámbito del Derecho administrativo sancionador del art. 66.1.3 del Código penal —reglas para individualizar las penas— obligaría, en este supuesto, a imponer la sanción administrativa en su mitad superior debido a la apreciación de la agravante de intencionalidad, impidiendo al órgano jurisdiccional establecer su duración por debajo de dicho límite en atención a las circunstancias concurrentes.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 ha opuesto a la admisión de la presente cuestión de inconstitucionalidad por considerarla notoriamente infundada. Alega, en primer lugar, que el art. 28 de la Ley 40/2015 no configura o define elemento alguno de la infracción administrativa, sino que enuncia, con carácter general, el principio de responsabilidad subjetiva que debe regir en materia sancionadora-administrativa. En esta línea de razonamiento, añade que no puede considerarse inconstitucional que el legislador contemple el grado de culpabilidad o intencionalidad del sujeto responsable como un criterio para la graduación de las sanciones administrativas, en orden a garantizar el principio de proporcionalidad, sin que quepa entender que deban aplicarse de forma analógica las reglas específicas previstas en el Código penal para la individualización de la pena. En segundo lugar, el fiscal general del Estado pone de relieve que resulta inviable el planteamiento de la cuestión de inconstitucionalidad respecto del art. 29.3 a) de la Ley 40/2015 formulada con carácter general, esto es, con independencia y al margen de la concreta infracción administrativa que resulta sancionada por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37.1 de la Ley Orgánica del Tribunal Constitucional (LOTC), este tribunal puede rechazar en trámite de admisión y mediante auto, con la sola audiencia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expuesto, el fiscal general del Estado considera que el razonamiento del órgano judicial es erróneo debido a que no son aplicables por analogía al derecho administrativo sancionador las reglas contenidas en el art. 66.1.3 del Código penal, que regulan la individualización de las penas, de lo que resulta que la sanción a imponer no lo sería necesariamente en su mitad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Difícilmente puede estimarse relevante una duda de constitucionalidad sobre un precepto legal cuando —como en este caso— tal duda descansa no en el enunciado mismo de la regla cuestionada, sino en la postulada aplicabilidad de otra disposición legal (art. 66 del Código penal) que se inscribe, sin embargo, en otro sector del ordenamiento, planteamiento que, sin entrar ahora en otras consideraciones, no puede ser hecho suyo por este tribunal, pues el juicio de constitucionalidad que de él se reclama no puede sustentarse, como es claro, en otro de mera 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incluso al margen de lo que queda dicho, la cuestión está notoriamente infundada. La doctrina constitucional reconoce que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inconstitucionalidad trasladada por el órgano judicial” (AATC 18/2019, de 12 de marzo, FJ 2; 116/2019, de 15 de octubre, FJ 5). En esta línea, tal como recuerda el ATC 124/2009, de 28 de abril, el Tribunal Constitucional, desde el ATC 352/1990, de 2 de octubre, ha considerado notoriamente infundadas las cuestiones en las que “la duda que alienta el juez proponente sobre la constitucionalidad de las disposiciones cuestionadas se basa en una interpretación de las mismas, o el precepto constitucional con el que se le supone en conflicto, absolutamente diversa de la que es común en nuestra comunidad jurídica o de la que haya sido ya consagrada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Proyectando la doctrina constitucional sobre el presente caso, encontramos que la argumentación utilizada por el órgano judicial —al exteriorizar la duda de inconstitucionalidad sobre la proporcionalidad de la norma cuestionada— carece notoriamente de consistencia, por las razones que se expondrán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parte de una interpretación literal del término “culpabilidad” contenida en los arts. 28.1 y 29.3 a) de la Ley 40/2015, de 1 de octubre, de régimen jurídico del sector público, sin tener en cuenta que dicho término alberga conceptos materiales distintos en uno y otro precepto. Efectivamente, el art. 28.1 establece que “solo podrán ser sancionadas por hechos constitutivos de infracción administrativa las personas físicas y jurídicas […], que resulten responsables de los mismos a título de dolo o culpa”; de esta manera está afirmando el principio de responsabilidad subjetiva que rige en el ámbito del Derecho administrativo sancionador. Por otra parte, el art. 29.3 a) tiene una finalidad distinta: esto es, establecer las circunstancias o criterios que el órgano administrativo sancionador debe tener en cuenta, de manera especial, para la graduación de las sanciones administrativas y entre ellos, legítimamente, incluye el grado de culpabilidad o la existencia de intencionalidad como criterio de graduación en aras de cumplir con el principio de proporcionalidad entre el hecho y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evidente, por tanto, que ninguna contradicción produce esta regulación con el principio de proporcionalidad integrado en la vertiente material del art. 25 CE. En el caso del art. 28.1, dicho precepto se limita a enunciar de forma explícita un principio ya ínsito en el art. 25 CE. Asimismo, y por lo que respecta al art. 29.3 a), no existe impedimento constitucional alguno en que el legislador introduzca el grado de culpabilidad o la existencia de intencionalidad, como un criterio tendente a garantizar que las sanciones administrativas observen los principios de idoneidad y necesidad aludidos en el propio precepto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cuestión planteada es notoriamente infundada y, en esta fase preliminar, puede descartarse que en el art. 29.3 a) de la Ley 40/2015 —regulador del principio de proporcionalidad en las sanciones administrativas— concurra la vulneración constitucional del art. 25 CE en la que se fundamenta.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