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Valladolid, en autos de recurso contra Acuerdo del Pleno del Ayuntamiento de Medina del Campo que fijó tipo de gravamen de la contribución territorial rústica y pecuaria en el 35% para 1985, dictó Auto el 26 de julio de 1985 por el que plantea ante este Tribunal cuestión sobre supuesta inconstitucionalidad del inciso del art. 13.1 de la Ley 24/1983, de 21 de diciembre, de medidas urgentes de saneamiento y Regulación de las Haciendas Locales que establece que "... el tipo de gravamen de la contribución territorial rústica, podrá ser fijado libremente por los Ayuntamientos en relación con los bienes calificados de naturaleza rústica ... sitos en su término municipal", por contradicción con lo dispuesto en el art. 133 de la Constitución. Dicha cuestión registrada con el nº 923/85, fue admitida a trámite por providencia de la Sección Tercera de 30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legal de la Ley 24/1983 y con base en las mismas fundamentaciones han sido planteadas otras cuestiones de inconstitucionalidad ante este Tribunal.</w:t>
      </w:r>
    </w:p>
    <w:p w:rsidRPr="00C21FFE" w:rsidR="00AD51A7" w:rsidRDefault="008777C4">
      <w:pPr>
        <w:rPr/>
      </w:pPr>
      <w:r w:rsidRPr="&lt;w:rPr xmlns:w=&quot;http://schemas.openxmlformats.org/wordprocessingml/2006/main&quot;&gt;&lt;w:lang w:val=&quot;es-ES_tradnl&quot; /&gt;&lt;/w:rPr&gt;">
        <w:rPr/>
        <w:t xml:space="preserve">De ellas fueron acumuladas por Auto de 4 de julio de 1985 las registradas con los números 316, 327, 328, 329, 44, 349 y 366 todas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y 674 de 1985, el Tribunal acordó denegar la acumulación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han personado el Letrado del Estado y el Fiscal General del Estado, mediante escritos de 2 de diciembre de 1985, formulando aquel alegaciones con petición de que se dictase sentencia en su día y el Fiscal General en solicitud de que se suspenda el curso del proceso hasta que recaiga sentencia en las cuestiones similares ya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los Antecedentes 2º, aparecen promovidas en relación con el mismo precepto de la Ley 24/1983, de 21 de diciembre,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recaica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923/85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recaica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