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Victoriano Gines Alcaide, interno en el Centro Penitenciario de Ciudad Real, por escrito de 3 de abril de 1986 manifiesta interponer recurso de amparo constitucional, ante este Tribunal, por entender que, visto los artículos 14 al 30, 53.2 y 161 de la Constitución en relación con el art. 47 de la Ley General Penitenciaria y 254 de su Reglamento, se está vulnerando la Constitución y sus derechos y beneficios penitenciarios, al denegarle sistemáticamente los permisos de salida tanto las autoridades penitenciarias, como el Sr. Juez de Vigilancia, en relación al cual solicita se efectue una inspección por entender que pudiera estar incurso en conducta arbitraria y prevaricación.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Expone el actor, en apoyo de sus pretensiones, que se encuentra privado de libertad desde el día 7 de febrero de 1980, llevando en la actualidad seis años, un mes y veintitrés días de prisión interrumpida, que con la correspondiente redención de penas por el trabajo totalizan nueve años, dos meses y diecinueve días, más un año de redención extraordinaria, todo lo cual hace un total de diez años, dos meses y diecinueve días, por lo que habida cuenta, de que su condena es de treinta años, en la actualidad lleva extinguida más de un tercio de la misma, por lo que entiende se le está discriminando, al no tener en cuenta que esta clasificado en segundo grado de tratamiento penitenciario desde el 18 de enero de 1983 y no haber tenido ni una sola sanción disciplinaria y sí anotaciones meritorias en su expediente, al denegarle sistemáticamente permisos de salida, lo que viola el artículo 14 de la Constitución y el 47 de la Ley Orgánica General Penitenciaria.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artículo 4.2 de la Ley Orgánica del Tribu nal Constitucional (LOTC), dispone que "el Tribunal Constitucional apreciará de oficio o a instancia de parte la falta de jurisdicción o competencia". En el presente caso lo que formula el actor no es un recurso de amparo sino mas bien un escrito de petición o queja, cuyo destinatario no puede ser este Tribunal, a quien no compete conceder al interesado lo que solicita en orden a los derechos o beneficios que en el plano penitenciario entiende le corresponde, ni por supuesto, ordenar que se efectúen inspecciones sobre la actuación de los órganos competentes en aquélla materia, decisiones que son competencia de órganos que este Tribunal no puede sustituir en tal función y cuya actuación no podemos enjuiciar en tanto no afecte a derechos constitucionales susceptibles de amparo. Bien es cierto que el recurrente alega violación de los articulos 14 al 30, y mas concretamente del 14, de la Constitución; pero no es menos cierto que tal alegación se lleva a cabo sin relación alguna con los hechos que expone ni con los fundamentos de la petición formulada, por lo que su mera presencia no basta para influir dentro de la jurisdicción del Tribunal lo que manifiestamente queda fuera de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de oficio la falta de jurisdicción del Tribunal en el caso planteado y se acuerda remitir copias autorizadas del escrito dirigido a este Tribunal por D. Victoriano Gines Alcaide con fecha 30 de marzo pasado, en petición de amparo, al Consejo General del Poder Judicial, al Defensor del Pueblo y al Ministerio Fiscal porque a la vista del referido escrito las cuestiones que plantea y peticiones que formula pudieran corresponder a la competencia de tales Órganos.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