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391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24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Cáceres, en su recurso número 162/85, planteó la presente cuestión de inconstitucionalidad, admitida a trámite por providencia de la Sección Segunda de 19 de marzo de 1986, en relación con la Ley 5/1983, de 29 de junio, de Medidas Urgentes en Materia Presupuestaria, Financiera y Tributaria, en su disposición adicional 6ª, número 3, en cuanto crea un gravamen complementario para 1983 a la Tasa de juego sobre máquinas de azar,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Territoriales de Pamplona y Cáceres, han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445,446 y 447, todas ellas de 1985, fueron acumuladas por Auto del Pleno de 16 de julio del pasado año, por darse los presupuestos previstos en el artículo 83 de la Ley Orgánica del Tribunal Constitucional (LOTC),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En las registradas con los números 578, 579, 580, 581, 642, 643, 644, 645, 646, 685, 704, 1019, 1033, 1061, 1088, 1139, 1159, 1177, 1178, 1182, 1203, 1204, y 1205, de 1985, el Tribunal acordó no acceder a la acumulación solicitada y decidió suspender la tramitación de cada uno de los procesos hasta que recayera Sentencia en las ya acumuladas, en razón a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Letrado del Estado, se persona mediante escrito presentado el 10 de abril último, en el que formula alegaciones en solicitud de que en su día se dicte Sentencia, e interesa asimismo la acumulación de la presente cuestión a las ya acumuladas por Auto de 16 de julio de 1985.</w:t>
      </w:r>
    </w:p>
    <w:p w:rsidRPr="00C21FFE" w:rsidR="00AD51A7" w:rsidRDefault="008777C4">
      <w:pPr>
        <w:rPr/>
      </w:pPr>
      <w:r w:rsidRPr="&lt;w:rPr xmlns:w=&quot;http://schemas.openxmlformats.org/wordprocessingml/2006/main&quot;&gt;&lt;w:lang w:val=&quot;es-ES_tradnl&quot; /&gt;&lt;/w:rPr&gt;">
        <w:rPr/>
        <w:t xml:space="preserve">El Fiscal General del Estado, se persona mediante escrito presentado el 11 de abril último y solicita la suspensión de la tramitación de la presente cuestión, como se ha acordado en otras similares, hasta que recaiga sentencia en las ya acumuladas.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se consideró más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el mismo, obliga en la presente a mantener el mismo criterio. 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246/86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