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tuvo entrada en este Tribunal el 3 de marzo de 1986 (presentado en el Juzgado de Guardia el día 25 de febrero anterior), D. Rufino Montero Fernández, representado por el Procurador de los Tribunales D. Julián Caballero Aguado interpuso recurso de amparo contra la Sentencia dictada por el Juzgado de Instrucción n° 14 de Madrid, de fecha 5 de noviembre de 1985, por la que, estimando la apelación interpuesta contra la Sentencia del Juzgado de Distrito n° 18 de 13 de septiembre de 1985, se absolvió al recurrente de la falta de hurto de que había sido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resulta del escrito y documentos presentados) el recurso de amparo se basa en lo siguiente:</w:t>
      </w:r>
    </w:p>
    <w:p w:rsidRPr="00C21FFE" w:rsidR="00AD51A7" w:rsidRDefault="008777C4">
      <w:pPr>
        <w:rPr/>
      </w:pPr>
      <w:r w:rsidRPr="&lt;w:rPr xmlns:w=&quot;http://schemas.openxmlformats.org/wordprocessingml/2006/main&quot;&gt;&lt;w:lang w:val=&quot;es-ES_tradnl&quot; /&gt;&lt;/w:rPr&gt;">
        <w:rPr/>
        <w:t xml:space="preserve">El actor fue denunciado el 23 de mayo de 1985 por haberse apropiado de objetos de la empresa Toldorama en que trabajaba. El Juzgado de Distrito n° 18 de Madrid que conoció del juicio verbal de faltas, condenó al denunciado por sentencia de 13 de septiembre de 1985 como autor de una falta prevista y penada en el artículo 587.12 del Código Penal, a la pena de diez días de arresto menor y al pago de las costas del juicio.</w:t>
      </w:r>
    </w:p>
    <w:p w:rsidRPr="00C21FFE" w:rsidR="00AD51A7" w:rsidRDefault="008777C4">
      <w:pPr>
        <w:rPr/>
      </w:pPr>
      <w:r w:rsidRPr="&lt;w:rPr xmlns:w=&quot;http://schemas.openxmlformats.org/wordprocessingml/2006/main&quot;&gt;&lt;w:lang w:val=&quot;es-ES_tradnl&quot; /&gt;&lt;/w:rPr&gt;">
        <w:rPr/>
        <w:t xml:space="preserve">Apelada la Sentencia ante el Juzgado de Instrucción n° 14 de Madrid, este Juzgado dictó Sentencia el 5 de noviembre de 1985 por la que, revocando la sentencia apelada, absolvió al recurrente de la falta de hurto por la que había sido condenado por entender que el grado de tentativa que resultaba de los hechos probados no es sancionable con arreglo al artículo 5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 amparo entiende vulnerado el artículo 18 de la Constitución, porque su honor resulta lesionado al declarar la sentencia que fue visto por empleados de la empresa que estaba cargando en el vehículo de su propiedad, sin autorización del empresario, material de herrajes para toldos, valorado en ocho mil pesetas y que al ser visto por otros empleados impidieron que terminara de cargar el material que recuperaron para la empresa. Solicita de este Tribunal, para restablecer su derecho al honor, Sentencia por la que se declare no ser ciertos los referidos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marzo de 1986, la Sección acordó a tenor del artículo 50 de la Ley Orgánica del Tribunal Constitucional (L.O.T.C.), otorgar un plazo de diez días al Ministerio Fiscal y al solicitante de amparo para que hicieran las alegaciones que estimaran procedentes, sobre la posible concurrencia de la causa de inadmisión prevista en el artículo 50.2.b) de la L.O.T.C.: carecer manifiestamente la demanda de contenido que justifique una decisión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10 de abril de 1986, entiende que, efectivamente, concurre la causa de inadmisión del artículo 50.2.b) de la L.O.T.C., por cuanto se pretende rectificar los hechos afirmados por la Sentencia del Juzgado de Instrucción en su función jurisdiccional de apreciar los hechos que estima probados; por lo que procede inadmitir el recurso.</w:t>
      </w:r>
    </w:p>
    <w:p w:rsidRPr="00C21FFE" w:rsidR="00AD51A7" w:rsidRDefault="008777C4">
      <w:pPr>
        <w:rPr/>
      </w:pPr>
      <w:r w:rsidRPr="&lt;w:rPr xmlns:w=&quot;http://schemas.openxmlformats.org/wordprocessingml/2006/main&quot;&gt;&lt;w:lang w:val=&quot;es-ES_tradnl&quot; /&gt;&lt;/w:rPr&gt;">
        <w:rPr/>
        <w:t xml:space="preserve">El recurrente insiste en su pretensión de amparo porque, según él, no se ha acreditado en el proceso "haber sido visto" por persona alguna realizando los hechos que se le imputan. Pide, por tanto,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derecho al honor que garantiza el artículo 18 de la Constitución, que es el único precepto constitucional invocado por el recurrente, no impide -naturalmente- el enjuiciamiento por los Tribunales de conductas eventualmente ilícitas penales ni el pronunciamiento judicial que corresponda a las mismas. En el presente caso, tanto el Juzgado de Distrito nº 18 de Madrid que conoció del juicio de faltas, como el Juzgado de Instrucción n° 14 que conoció de la apelación, afirman como resultado de las pruebas practicadas y en el ejercicio de su función jurisdiccional, los hechos que estiman probados; y de estos hechos, como establece el artículo 44.1.b) de la L.O.T.C, "en ningún caso entrará a conocer el Tribunal Constitucional"; es claro, por tanto, que la pretensión de amparo que pide la revisión de esos hechos, carece manifiestamente de contenido que justifique una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