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Benito Nava Peraleda, asistido del Letrado don Juan Carlos de la Fuente Carrión recurre en amparo ante este Tribunal contra la Providencia dictada por la Magistratura de Trabajo n° 15 de Madrid de 3 de diciembre de 1985 en autos de despido n° 1355/1985 gue le fue notificada el día 16 del mismo mes y año, con la pretensión de que se declare la nulidad de tal providencia y se dicte Sentencia estimando el recurso, declarando la inconstitucionalidad citada, con todos los demás pronunciamientos procedentes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febrero de 1986, la Sección acuerda tener por recibido el escrito de demanda de amparo presentado por don Benito Nava Peraleda; y se le hace saber la posible concurrencia del motivo de inadmisión de falta de postulación, al no estar representado por Procurador, según lo preceptuado en el art. 81.1 en conexión con el 50.1,b), ambos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Por lo que de conformidad con lo establecido en el art. 85.2 de la citada Ley Orgánica, se concedió al recurrente un plazo de 10 días, para que dentro del mismo pudiera subsanar el defecto procesal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día 26 de febrero de 1986, se personó el Procurador don Luis Peris Alvarez, en nombre y representación de don Benito Nava Peraleda, según acredita por medio de copia autorizada de escritura de poder.</w:t>
      </w:r>
    </w:p>
    <w:p w:rsidRPr="00C21FFE" w:rsidR="00AD51A7" w:rsidRDefault="008777C4">
      <w:pPr>
        <w:rPr/>
      </w:pPr>
      <w:r w:rsidRPr="&lt;w:rPr xmlns:w=&quot;http://schemas.openxmlformats.org/wordprocessingml/2006/main&quot;&gt;&lt;w:lang w:val=&quot;es-ES_tradnl&quot; /&gt;&lt;/w:rPr&gt;">
        <w:rPr/>
        <w:t xml:space="preserve">En dicho escrito, el Sr. Peris Alvarez solicita se tenga por subsanada la causa de inadmisión en la demanda de amparo y que se entiendan con él las sucesivas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marzo de 1986 se abrió el trámite de inadmisión, que, luego de oir a la parte y al Ministerio Fiscal, que solicitó la admisión del recurso, fue resuelto por providencia de 7 de mayo de 1986, admitiendo a trámite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recurrente, en escrito de 23-4-86, se solicita la suspensión de las actuaciones de ejecución y embargo, en concreto del vehículo trabado, seguidas por la Magistratura de Trabajo n° 15 de Madrid, contra cuya providencia se interpone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7 de mayo de 1986 se acordó formar la pieza separada de suspensión y oir por el plazo de 3 días al Ministerio Fiscal y al recurrente.</w:t>
      </w:r>
    </w:p>
    <w:p w:rsidRPr="00C21FFE" w:rsidR="00AD51A7" w:rsidRDefault="008777C4">
      <w:pPr>
        <w:rPr/>
      </w:pPr>
      <w:r w:rsidRPr="&lt;w:rPr xmlns:w=&quot;http://schemas.openxmlformats.org/wordprocessingml/2006/main&quot;&gt;&lt;w:lang w:val=&quot;es-ES_tradnl&quot; /&gt;&lt;/w:rPr&gt;">
        <w:rPr/>
        <w:t xml:space="preserve">Por este último se reitera su petición y añade gue el embargo de la furgoneta y su depósito en las dependencias de Tráfico le está causando un gravísimo perjuicio, toda vez que este vehículo es su más elemental útil de trabajo originándole cada día gue persiste esta situación un perjuicio económico de considerable cuantía.</w:t>
      </w:r>
    </w:p>
    <w:p w:rsidRPr="00C21FFE" w:rsidR="00AD51A7" w:rsidRDefault="008777C4">
      <w:pPr>
        <w:rPr/>
      </w:pPr>
      <w:r w:rsidRPr="&lt;w:rPr xmlns:w=&quot;http://schemas.openxmlformats.org/wordprocessingml/2006/main&quot;&gt;&lt;w:lang w:val=&quot;es-ES_tradnl&quot; /&gt;&lt;/w:rPr&gt;">
        <w:rPr/>
        <w:t xml:space="preserve">Por su parte, el Ministerio Fiscal alega que a la vista de las actuaciones remitidas por la Magistratura de Trabajo n° 15 de Madrid, observa que dicha Magistratura, en Auto de 22-1-86 declaró extinguida la relación laboral entre actores y demandado, fijando las cantidades de dinero que éste debe pagar a aquéllos. Por tanto si, mientras dure la tramitación del recurso de amparo, no se suspende la ejecución de la resolución impugnada, -providencia de 3-12-85-, continuará la ejecución de la sentencia en cuanto al pago de las cantidades que estableció el ya mencionado auto de 22-1-86. Ello, en el supuesto de que, después, fuera otorgado el amparo, no haría perder a éste su finalidad porque podría procederse a la devolución de las sumas percibidas. Por ello, el Minsiterio Fiscal estima que no procede acordar la suspensión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y como informa el Ministerio Fiscal, no es procedente decretar la suspensión, porque la ejecución de la resolución impugnada, que en definitiva condena al pago de las cantidades reclamadas, sustitutivas de la readmisión de los trabajadores, no ha de producir un perjuicio irreparable a la empresa, la cual, caso de estimarse el recurso de amparo, podría recuperar las sumas entregadas. De otro lado, no puede olvidarse, según criterio de este Tribunal, la presunción de veracidad de que gozan las actuaciones judiciales y la perturbación de los intereses generales que toda suspensión de ejecución de sentencia implica.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Consecuentemente, la Sala acuerda denegar la petición de suspensión que se interesa.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