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730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Provincial de Santa Cruz de Tenerife, en su recurso 145/85, planteó la presente cuestión de inconstitucionalidad, admitida a trámite por providencia de 2 de julio de 1986, de la Sección Primera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gue puede infringir los artículos 9.3 y 137.7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 Administrativo de las Audiencias Territoriales de Pamplona, Cáceres y Valencia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 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475 y 550,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15 de julio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16 de julio último y solicita también, por otrosí, que se sus 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