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457/85, planteó la presente cuestión de inconstitucionalidad, admitida a trámite por providencia de 29 de octubre de 1986, de la Sección Tercera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729, 753, 754, 864, 865, 993 y 1082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18 de noviembre último y solicita la suspensión de la misma hasta que recaiga sentencia en las varias acumuladas que están en trá 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22 de noviembre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