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Carlos Castillo Quero.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junio de 1986 se registró en este Tribunal un escrito mediante el cual don Argimiro Vázquez Guillén, Procurador de los Tribunales, interpuso recurso de amparo constitucional en nombre de su poderdante, don Carlos Castillo Quero, contra la Orden del Ministerio de Defensa de 24 de octubre de 1985, así como contra los Autos de 23 de abril y de 7 de junio de 1986, dictados por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en este procedimiento pueden resumirse como sigue: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«Boletín Oficial del Ministerio de Defensa» núm. 183, de 25 de octubre de 1985, se publicó la Orden 180/26084/1985, de 24 de octubre, en cuya virtud se procedió «a la aplicación del efecto de separación del servicio al Teniente Coronel del Cuerpo de la Guardia Civil don Carlos Castillo Quero, produciéndose su baja en el expresado Cuerpo (...)», a resultas -según la misma Orden- de la condena impuesta por Sentencia firme de 30 de julio de 1982 de la Audiencia Provincial de Almería y en virtud de lo prevenido en el art. 231 del Código de Justicia Militar, todo ello de conformidad con el informe del Pleno del Consejo Supremo de Justicia Militar de 24 de octubre de 1985.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anterior Orden interpuso la representación del hoy demandante recurso contencioso-administrativo, manifestando ejercer la acción regulada en los arts. 5 y siguientes de la Ley 62/1978, de 25 de diciembre, de Protección Jurisdiccional de los Derechos Fundamentales. En el escrito de interposición del recurso se decían por el actor conculcados sus derechos fundamentales reconocidos en los arts. 14 y 24.2 de la Constitución. Admitido a trámite el recurso, la Sala de lo Contencioso-Administrativo de la Audiencia Nacional, tras la preceptiva audiencia a las partes comparecidas, se inhibió del conocimiento del asunto por entender que, al haber sido dictada la Orden impugnada previo informe del Consejo Superior de Justicia Militar, correspondía el conocimiento de la impugnación al Tribunal Supremo.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Sala Tercera del Tribunal Supremo dictó Auto, con fecha 23 de abril de 1986, mediante el que aceptaba su competencia para conocer del asunto, declarando «la improcedencia del trámite de la Ley 62/1978, de 26 de diciembre, para ventilar la pretensión ejercitada en el recurso, cuyo cauce procesal adecuado es el contencioso-administrativo de la Ley reguladora de la Jurisdicción y al efecto de su posible interposición, conceder al recurrente un plazo de treinta días para que pueda agotar la vía administrativa previa, contado a partir de la notificación de este Auto». d) Contra esta resolución interpuso la representación actora recurso de súplica, desestimado mediante Auto del mismo Tribunal de fecha 7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en síntesis, la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Considera el recurrente que la resolución de la Sala Tercera del Tribunal Supremo en la que se declaró inviable, en el caso, el cauce contencioso-administrativo especial regulado por la Ley 62/1978 conculcó su derecho fundamental reconocido en el art. 24.1 de la Constitución, al privarle del procedimiento preferente y sumario. previsto en el art. 53.2 de la Norma fundamental.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otra parte, se afirma recurrir «a la protección en sede constitucional de los derechos y libertades fundamentales violadas por el Ministro de Defensa por Orden 180/26084/1985, al separar a don Carlos Castillo Quero del Cuerpo de la Guardia Civil» y a tal efecto dice que de los dos reproches en su día articulados ante la jurisdicción ordinaria al atacar dicho acto (discriminación y conculcación de los derechos declarados en el art. 24.2 de la Constitución), el primero de ellos (la supuesta conculcación de la regla recogida en el art. 14 de la Constitución) «ha perdido sentido a partir del 1 de junio de 1986», esto es, desde que entró en vigor la Ley Orgánica 13/1985, de 9 de diciembre, del Código Penal Militar, pues este texto legal derogó el Tratado II («Leyes Penales») del Código de Justicia Militar de 17 de julio de 1945, en donde se contenía el art. 231, cuya aplicación ahora se controvierte. Afirma, a continuación, que «el art. 231 encontraba su asiento en el Tratado de Leyes Penales, y no en los tratados orgánicos y procesales de dicho Código», de tal modo que aquel precepto «no atribuye potestades de ninguna clase a la autoridad administrativa». Por ello, el Ministerio de Defensa, mediante la repetida Orden, vino a aplicar una «pena accesoria» que no se contenía en la Sentencia de 30 de julio de 1982.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 anterior supondría que se habría violado el derecho del actor a la defensa y a ser informado de la acusación contra él formulada (art. 24.2 de la Norma fundamental), pues se afirma, así, que en el juicio oral de la causa 65/1981 «no se solicitó ni por la acusación particular ni por el Ministerio Fiscal (...) la pena accesoria de separación del servicio» y que la Sentencia finalmente dictada «sólo lo (sic) condenó a la accesoria de suspensión para todo cargo público, profesión, oficio y derecho de sufragio durante el tiempo de las condenas de privación de libertad. Tampoco la Sentencia posterior dictada en casación por el Tribunal Supremo (de fecha 16 de mayo de 1983) «incluyó la pena accesoria de separación del servicio». Por todo ello, «ha sido anómalo -y en todo caso contrario al precepto constitucional citado- que el Ministro del Ejército (sic) a procedimiento conocido alguno y simplemente con el apoyo del Consejo Supremo de Justicia Militar (...) le haya separado del servicio». La omisión de una pena en Sentencia condenatoria -se añade- es «insubsanable» y «no puede ser salvada por una decisión administrativa», ya que la aplicación de las penas es cometido específico de los Tribunales, y el art. 231 del Código de Justicia Militar no faculta a la Administración para imponer la pena accesoria de separación del servicio, sino que hace una declaración de tipo general en el Tratado segundo, de Leyes Penales, para que sea aplicada por los Tribunales». e) Por lo demás, el art. 896 del Código de Justicia Militar no autorizaría a decretar «la baja de los militares por Decreto u Orden Ministerial», porque este precepto lo que no puede hacer es amparar un Decreto u Orden Ministerial dictado sin que en la Sentencia judicial se haya impuesto la separación del servicio. El derecho al Juez ordinario predeterminado por la Ley (art. 24.2) -se concluye- no se circunscribe el aspecto de la competencia funcional o territorial del Juez, sino que comprende también «la competencia jurisdiccional, que es cometido específico de los Jueces y Tribunales, y que impide que en las funciones judiciales se inmiscuya la Administración.».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suplica se declare la nulidad de la Orden Ministerial impugnada («con todos los efectos, incluidos los retraoctivos derivados de dicha nulidad») y que -«subsidiaria y alternativamente, para el caso de no acceder a lo anterior»- se haga idéntico pronunciamiento respecto del Auto de 23 de abril de 1986, de la Sala Tercera del Tribunal Supremo, disponiéndose, en tal caso, la retroacción de las actuaciones «para que continúe la tramitación del recurso por el trámite de la Ley 62/1978, de 26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el 29 de octubre poner de manifiesto la posible existencia de la causa de inadmisibilidad del art. 50.2 b) de la LOTC. El demandante presentó sus alegaciones el 12 de noviembre, solicitando la admisión a trámite del recurso en base a razonamientos que, en esencia, son reproducción de los expuestos en la demanda. El Ministerio Fiscal solicitó la inadmisión propuesta, alegando en su fundamento, sustancialmente, que la inadmisión, por inadecuado, del recurso contencioso-administrativo especial de la Ley 62/1978, pone fin a la vía judicial y deja libre el camino del amparo, porque está proclamando que los derechos invocados no han sido vulnerados y, en su consecuencia, no es apreciable en dicha inadmisión quebrantamiento del derecho a la tutela judicial efectiva del art. 24.1 de la Constitución. En relación con las vulneraciones imputadas a la Orden Ministerial de separación debe igualmente considerarse que no se han producido, porque no es término adecuado de comparación el que en otros Cuerpos, como es el Superior de Policía, no esté legalmente prevista la misma sanción de separación que para los militares establece el art. 231 del Código de Justicia Militar y el derecho a ser informado de la acusación no puede ser afectado por una Orden Ministerial que no enjuicia una conducta, sino que se limita a aplicar a una ya determinada ciertos efectos previstos en la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alegan dos clases de vulneraciones distintas: a) la del derecho a la tutela judicial efectiva (art. 24.1 de la C.E.)  que se imputa al Auto del Tribunal Supremo de 23 de abril de 1986, en virtud del cual se declaró la improcedencia del trámite de la Ley 62/1978, interpuesto por el demandante contra la Orden Ministerial de 24 de octubre de 1985 en defensa de los derechos fundamentales que le reconocen los arts. 14 y 24.2 de la Constitución, y b) la de estos últimos derechos que se pretende haber sido vulnerados por la referida Orden Ministerial que acordó su separación del servicio y baja en el Cuerpo de la Guardia Civil, en aplicación del art. 231 del Código de Justicia Militar por haber sido condenado en Sentencia firme a tres penas de ocho años de prisión mayor.  Procede, en su consecuencia, examinar la causa de inadmisibilidad propuesta con la separación que impone dicho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marco del art. 43 de la LOTC, el recurso contencioso-administrativo regulado por la Ley 62/1978, de 26 de diciembre, cumple la función de vía judicial previa que le asigna el núm. 2 de la Disposición transitoria segunda de la misma LOTC y de esa función se deriva, según han declarado las Sentencias 12/1982, de 31 de marzo, 31/1984, de 7 de marzo, y 148/1986, de 25 de noviembre, que la utilización de dicho recurso en protección de un derecho fundamental que se considera vulnerado deja expedito el camino del recurso de amparo, cuando la protección pretendida no se ha conseguido, siendo indiferente que la frustración de ésta venga fundada en estimaciones procesales o pronunciamientos de fondo, pues la vía judicial previa ha cumplido su finalidad en ambos casos, incluido el supuesto de que la jurisdicción la haya declarado inadecuada, pues también en este supuesto la decisión judicial está proclamando que estima inexistente la vulneración de los derechos fundamentales invocados y tal declaración es la que abre el cauce procesal subsidiario del recurso de amparo.  Carece manifiestamente de contenido constitucional la pretensión de que dicho acto vulnera el derecho a la tutela judicial efectiva garantizado por el art. 24.1 de la Constitución, pues su negativa a conceder la protección solicitada por el demandante es precisamente la que determina la apertura de este recurso de amparo como medio de reparar esa negativa, si a ello hubiera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 carencia manifiesta tienen las imputaciones dirigidas contra la Orden Ministerial recurrida.  La demanda de amparo se limita a citar el principio de igualdad del art. 14 de la Constitución, en su fundamento jurídico-procesal segundo y, en la alegacion segunda del escrito presentado en este trámite, señala como contenido del presente proceso la protección «del derecho a la tutela efectiva» (art. 24.1) y a ser informado de la acusación formulada (art. 24.2)»; la única referencia comparativa a otros Cuerpos del Estado que motiva una alegación del Fiscal, se encuentra en la fotocopia del escrito de interposición del recurso contencioso, y todo ello convierte en pura formalidad la cita del mencionado art. 14, desprovista de desarrollo y fundamentación de clase alguna en la demanda de amparo que permita a este Tribunal conocer cuáles son los motivos y fundamentos de la vulneración del derecho a la igualdad.  La esencia del amparo dirigido a la protección de los derechos de defensa, a ser informado de la acusación y al Juez predeterminado reconocidos en el art. 24.2 se centra en que la sanción de separación del Cuerpo que le impone la Orden Ministerial recurrida no se contiene en la Sentencia condenatoria y ello supone una invasión de la potestad jurisdiccional por un órgano administrativo, no autorizada por el Código de Justicia Militar, que equivale a la imposición de una pena con vulneración de los referidos derechos fundamentales.  Tal tesis adolece de la carencia manifiesta de contenido constitucional, que se deja más arriba adelantada, pues la separación del servicio está prevista en el art. 231 del Código de Justicia Militar como uno «de los efectos especiales que producen para los militares las penas comprendidas en la Ley común», lo cual quiere decir que el Ministerio de Defensa no está imponiendo una pena, sino una consecuencia que la Ley declara aparejada a una Sentencia condenatoria firme y, en tal sentido, actúa como órgano administrativo en cumplimiento de un precepto legal y, por tanto, no puede hablarse de proceso penal, ni por consiguiente de vulneración de las garantías que, en relación con el mismo, establece el art. 24.2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