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589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10 de febrero de 1987 la Sala de lo Contencioso-Administrativo de la Audiencia Provincial de Santa Cruz de Tenerife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26 de marzo de 1987, y se formuló previo cumplimiento de los reguisitos procesales establecidos en el art. 35 y siguientes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3ª de 1 de abril de 1987 se acordó oir al Ministerio Fiscal por plazo de 10 días a fin de que alegase sobre la admisibilidad de la Cuestión de Inconstitucionalidad planteada al haber dictado sentencia este Tribunal, en la cuestión 665/84 el 17 de febrero de 1987, declarando la inconstitucionalidad del art. 13.1 de la Ley 24/1983 de 21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traslado conferido por escrito de 13 de abril de 1987 en el que tras exponer los antecedentes de la Cuestión de Inconstitucionalidad planteada, y referirse a la eficacia "erga omnes" de las sentencias que declaran la inconstitucionalidad de una norma, solicitaba que se declarase la inadmisibilidad de la planteada al haberse declarado la inconstitucionalidad del artículo 13.1 de la Ley 24 de 21 de diciembre de 1983 en virtud de la Sentencia del Tribunal Constitucional 19/1987 de 17 de febrero.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17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a la cuestión que en su Auto de 10 de febrero de 1987 nos planteaba la Sala de lo Contencioso-Administrativo de la Audiencia Provincial de Santa Cruz de Tenerife.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la inadmisión, por desaparición de su objeto, de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