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391/90, interpuesto por doña María del Carmen Iglesias Saavedra, en nombre y representación de doña Mercedes Fernández Soberats, contra la Sentencia del Tribunal Superior de Justicia (TSJ) de Madrid de 13 de diciembre de 1989. Han comparecido el Ministerio Fiscal y el Instituto Nacional de la Seguridad Social (INSS), representado por el Procurador de los Tribunales don Luis Pulgar Arroyo. Ha sido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15 de febrero de 1990 tuvo entrada en el Registro de este Tribunal un escrito de doña María del Carmen Iglesias Saavedra, quien en nombre y representación de doña Mercedes Fernández Soberats, interpone recurso de amparo contra la Sentencia del TSJ de Madrid de 13 de diciembre de 1989, dictada en Autos sobre pensión de viudedad. Invocan los arts. 9.2, 14, 41 y 50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Doña Mercedes Fernández Soberats convivió maritalmente con don Raúl González Areces desde el año 1972 hasta 1988. b) Tras el fallecimiento de don Raúl González Areces, acaecido el 24 de marzo de 1988, la hoy recurrente en amparo solicitó ante el INSS el reconocimiento de una pensión de viudedad. Dicha solicitud fue denegada. Frente a ello reaccionó la recurrente interponiendo reclamación previa y, tras su desestimación, demanda ante la jurisdicción laboral, siendo su pretensión desestimada por Sentencia de la Magistratura núm. 26 de Madrid de fecha 17 de julio de 1989. c) Contra esta Sentencia la actora interpuso recurso de suplicación, que tras los trámites procesales oportunos, concluyó mediante Sentencia de 13 de diciembre de 1989,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 ni le era de aplicación lo dispuesto en la Disposición adicional décima de la Ley 30/1981,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interpone recurso de amparo por presunta vulneración del art. 14 en relación con los arts. 9.2, 41 y 50 C.E. El primero habría sido lesionado, a juicio de la demandante, por la discriminación acaecida ante la aplicación del art. 160 L.G.S.S., en cuanto que de la misma se derivan consecuencias jurídicas diferentes según que el presunto beneficiario de la prestación hubiera convivido more uxorio con el causante o por el contrario hubiera contraído matrimonio, y esta diferencia, alega, no justifica un tratamiento jurídico distinto respecto de personas iguales en situaciones de convivencia materialmente idénticas. La lesión del art. 41 se habría producido en cuanto que la resolución judicial impugnada no garantiza la protección social ante la situación de necesidad constitucionalmente reconocida. Por último, el art. 50 C.E. habría sido lesionado pues, al no concederle la pensión solicitada, los poderes públicos incumplen su obligación de mantenimiento de pensiones para la tercera edad. </w:t>
      </w:r>
    </w:p>
    <w:p w:rsidRPr="00C21FFE" w:rsidR="00F31FAF" w:rsidRDefault="00356547">
      <w:pPr>
        <w:rPr/>
      </w:pPr>
      <w:r w:rsidRPr="&lt;w:rPr xmlns:w=&quot;http://schemas.openxmlformats.org/wordprocessingml/2006/main&quot;&gt;&lt;w:lang w:val=&quot;es-ES_tradnl&quot; /&gt;&lt;/w:rPr&gt;">
        <w:rPr/>
        <w:t xml:space="preserve">De acuerdo con ello, la demandante en amparo solicita se declare la nulidad de la Sentencia del TSJ de Madrid de 13 de diciembre de 1989, declarando el derecho de la actora a percibir la correspondiente pensión de viudedad reclamada en función de la real convivencia con el causante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mayo de 1990, la Sección Segunda de este Tribunal admitió a trámite la demanda, acordando de conformidad con el art. 51 de la Ley Orgánica del Tribunal Constitucional (LOTC) requerir al TSJ de Madrid y al Juzgado de lo Social núm. 26 de Madrid para que en el plazo de diez días remitieran testimonio del expediente de los autos núm. 1035/88 y del recurso de suplicación núm. 1075/89, interesándose al propio tiempo se emplazara a quienes fueron parte en el procedimiento,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julio de 1990, la Sección acordó tener por recibidas las actuaciones remitidas por el TSJ de Madrid y del Juzgado de lo Social núm. 26 de dicha capital. Asimismo se tuvo por personado y parte, en nombre y representación del INSS, al Procurador de los Tribunales don Luis Pulgar Arroyo. </w:t>
      </w:r>
    </w:p>
    <w:p w:rsidRPr="00C21FFE" w:rsidR="00F31FAF" w:rsidRDefault="00356547">
      <w:pPr>
        <w:rPr/>
      </w:pPr>
      <w:r w:rsidRPr="&lt;w:rPr xmlns:w=&quot;http://schemas.openxmlformats.org/wordprocessingml/2006/main&quot;&gt;&lt;w:lang w:val=&quot;es-ES_tradnl&quot; /&gt;&lt;/w:rPr&gt;">
        <w:rPr/>
        <w:t xml:space="preserve">A tenor de lo dispuesto en el art. 52 LOTC, se concedió un plazo común de veinte días al Ministerio Fiscal y a los Procuradores Sres. Iglesias Saavedra y Pulgar Arroyo,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27 de julio de 1990, reitera las alegaciones de la demanda de amparo y delimita la cuestión debatida en determinar si la aplicación literal del art. 160 L.G.S.S., efectuada por los órganos judiciales, resulta contraria a la Constitución. Aduce, en su defensa, que la naturaleza normativa de la Constitución obliga a una interpretación amplia de la norma cuestionada que abarque situaciones de efectividad y de convivencia análogas a aquellas legalmente constituidas.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presentado el 3 de septiembre de 1990, alega que los arts. 9.2, 41 y 50 C.E. no están configurados como .r derechos fundamentales susceptibles de protección a través del recurso de amparo (art. 41.1 C.E.). Asimismo, sostiene que no se ha producido vulneración del principio de igualdad al entender que la actora no se encuentra en ninguna de las situaciones conforme a las cuales la legislación vigente concede la pensión de viudedad. Cita los AATC 788/1987, 156/1987, 843/1987 y 1021/1988.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INSS, por escrito presentado en este Tribunal el 23 de julio de 1990, se opone a la estimación de la demanda, al entender que en el supuesto analizado faltan los presupuestos básicos para realiza, el juicio de igualdad que exige la aplicación del art. 14 C.E. al no existir igualdad de los supuestos fácticos y concurrir causas razonables que justifican la desigualdad de trato. Cita asimismo los AATC 156/1987, 788/1987 y 843/1987.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enero de 1991, el Pleno acordó avocar para sí el conocimiento del presente recurso y, por otra de 12 de febrero de 1991, se acordó señalar el día 14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la Sentencia del TSJ de Madrid de 13 de diciembre de 1989, confirmatoria de la Sentencia de instancia, que denegó a la solicitante en, amparo el derecho a percibir la pensión de viudedad. La recurrente alega que la Sentencia que impugna ha lesionado los arts. 9.2, 14, 39.1 y 50 C.E.</w:t>
      </w:r>
    </w:p>
    <w:p w:rsidRPr="00C21FFE" w:rsidR="00F31FAF" w:rsidRDefault="00356547">
      <w:pPr>
        <w:rPr/>
      </w:pPr>
      <w:r w:rsidRPr="&lt;w:rPr xmlns:w=&quot;http://schemas.openxmlformats.org/wordprocessingml/2006/main&quot;&gt;&lt;w:lang w:val=&quot;es-ES_tradnl&quot; /&gt;&lt;/w:rPr&gt;">
        <w:rPr/>
        <w:t xml:space="preserve">La lesión invocada por la recurrente, la entiende producida contra el derecho a la igualdad que proclama el art. 14 C.E. -en conexión al art. 9.2 del texto constitucional- y se 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interpretación literal del art. 160 de la L.G.S.S. se derivan consecuencias jurídicas diferentes respecto de unos y otros. Asimismo, se invocan como lesionados los arts. 41 y 50 C.E., en cuanto que el primero proclama el mantenimiento de un régimen público de seguridad social para todos los ciudadanos y el segundo declara que los poderes públicos garantizarán pensiones para la tercera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el objeto del presente recurso de amparo ha de comenzarse por señalar que, los arts. 9.2, 41 y 50 C.E. quedan fuera de los derechos protegidos por el recurso de amparo, no siendo por sí solos susceptibles de fundar dicho recurso (art.  53.2 C.E. y 41.1 LOTC), por lo que los mismos han de contemplarse en esta Sentencia en conexión con el derecho fundamental de igualdad proclamado en el art. 14 del texto constitucional.</w:t>
      </w:r>
    </w:p>
    <w:p w:rsidRPr="00C21FFE" w:rsidR="00F31FAF" w:rsidRDefault="00356547">
      <w:pPr>
        <w:rPr/>
      </w:pPr>
      <w:r w:rsidRPr="&lt;w:rPr xmlns:w=&quot;http://schemas.openxmlformats.org/wordprocessingml/2006/main&quot;&gt;&lt;w:lang w:val=&quot;es-ES_tradnl&quot; /&gt;&lt;/w:rPr&gt;">
        <w:rPr/>
        <w:t xml:space="preserve">Sobre la lesión al derecho reconocido en el art. 14 de la Constitución,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libertad de decisión, deduzca razonablemente consecuencias de la diferente situación de partida» (AATC 156/1987 y 788/1987). Doctrina ratificada recientemente por el Pleno del Tribunal en la STC 184/1990, resolutoria de la cuestión de inconstitucionalidad núm. 1419/88, planteada en relación con el art. 160 L.G.S.S. y la Disposición adicional décima, 2, de la Ley 30/1981, de 7 de julio.</w:t>
      </w:r>
    </w:p>
    <w:p w:rsidRPr="00C21FFE" w:rsidR="00F31FAF" w:rsidRDefault="00356547">
      <w:pPr>
        <w:rPr/>
      </w:pPr>
      <w:r w:rsidRPr="&lt;w:rPr xmlns:w=&quot;http://schemas.openxmlformats.org/wordprocessingml/2006/main&quot;&gt;&lt;w:lang w:val=&quot;es-ES_tradnl&quot; /&gt;&lt;/w:rPr&gt;">
        <w:rPr/>
        <w:t xml:space="preserve">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Pr="00C21FFE" w:rsidR="00F31FAF" w:rsidRDefault="00356547">
      <w:pPr>
        <w:rPr/>
      </w:pPr>
      <w:r w:rsidRPr="&lt;w:rPr xmlns:w=&quot;http://schemas.openxmlformats.org/wordprocessingml/2006/main&quot;&gt;&lt;w:lang w:val=&quot;es-ES_tradnl&quot; /&gt;&lt;/w:rPr&gt;">
        <w:rPr/>
        <w:t xml:space="preserve">Como se dice en la STC 184/1990, la Constitución no reconoce el derecho a formar una unión de hecho que, «... por imperativo del art. 14, sea acreedora del mismo tratamiento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Pr="00C21FFE" w:rsidR="00F31FAF" w:rsidRDefault="00356547">
      <w:pPr>
        <w:rPr/>
      </w:pPr>
      <w:r w:rsidRPr="&lt;w:rPr xmlns:w=&quot;http://schemas.openxmlformats.org/wordprocessingml/2006/main&quot;&gt;&lt;w:lang w:val=&quot;es-ES_tradnl&quot; /&gt;&lt;/w:rPr&gt;">
        <w:rPr/>
        <w:t xml:space="preserve">También se declara en la STC 184/1990 que el legislador podría extender a las uniones estables de hecho los beneficios de la pensión de viudedad, pero que el no hacerlo así, no lesiona el art. 14 C.E., ni por sí mismo ni en relación al art. 39.1 del texto constitucional, a lo que ha de añadirse que tampoco se lesiona el art. 14 C.E. en conexión con los arts. 41 y 50 C.E., ya que. aunque el supérstite no debe quedar desprotegido por el régimen público de Seguridad Social (arts. 41 y 50 C.E.), tal protección -como se dice igualmente en la STC 184/1990- no tiene necesariamente que prestarse a través de la actual pensión de viudedad, más aún teniendo en cuenta que en su configuración actual la pensión de viudedad no tiene por estricta finalidad atender una situación de necesidad o defensa económica.</w:t>
      </w:r>
    </w:p>
    <w:p w:rsidRPr="00C21FFE" w:rsidR="00F31FAF" w:rsidRDefault="00356547">
      <w:pPr>
        <w:rPr/>
      </w:pPr>
      <w:r w:rsidRPr="&lt;w:rPr xmlns:w=&quot;http://schemas.openxmlformats.org/wordprocessingml/2006/main&quot;&gt;&lt;w:lang w:val=&quot;es-ES_tradnl&quot; /&gt;&lt;/w:rPr&gt;">
        <w:rPr/>
        <w:t xml:space="preserve">En suma, la obligada aplicación del art. 160 L.G.S.S., cuya constitucionalidad ha declarado este Tribunal en la STC 184/1990, cuyos fundamentos damos por reproducidos íntegramente en la presente, conduce necesariamente a la desestimación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dona Mercedes Fernández Soberats.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en el recurso de amparo núm. 391/90,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en este asunto el Voto particular discrepante que formulé en el anterior núm. 986/87 por tener el mismo contenido y fundamento y que, por ello, reproduzco a continuación.</w:t>
      </w:r>
    </w:p>
    <w:p w:rsidRPr="00C36767" w:rsidR="00F31FAF" w:rsidRDefault="00356547">
      <w:pPr>
        <w:rPr/>
      </w:pPr>
      <w:r w:rsidRPr="&lt;w:rPr xmlns:w=&quot;http://schemas.openxmlformats.org/wordprocessingml/2006/main&quot;&gt;&lt;w:lang w:val=&quot;es-ES_tradnl&quot; /&gt;&lt;/w:rPr&gt;">
        <w:rPr/>
        <w:t xml:space="preserve">1. La Sentencia recaída en dicho recurso, de la que ahora discrepo, halla su fundamento en los que determinaron el fallo de la STC (Pleno) 184/1990, que decidió la cuestión de inconstitucionalidad 1419/88, propuesta por la Magistratura de Trabajo (hoy Juzgado Social) núm. 1 de Alava, al respecto del art. 160 de la Ley General de Seguridad Social (L.G.S.S.)  y adicional décima, dos, de la Ley 30/1981, por entender el Magistrado que dichos preceptos podían contrariar o vulnerar el contenido del art.  14 C.E., en relación con los arts.  10 y 39 de la misma, por cuanto dicho art. 160 de la L.G.S.S. se refiere exclusivamente al viudo-viuda, eliminando de sus previsiones al supérstite de la unión de hecho, es decir, de la pareja estable que no hubiera contraído matrimonio, superviviente que no percibirá, por ello, la pensión de viudedad.</w:t>
      </w:r>
    </w:p>
    <w:p w:rsidRPr="00C36767" w:rsidR="00F31FAF" w:rsidRDefault="00356547">
      <w:pPr>
        <w:rPr/>
      </w:pPr>
      <w:r w:rsidRPr="&lt;w:rPr xmlns:w=&quot;http://schemas.openxmlformats.org/wordprocessingml/2006/main&quot;&gt;&lt;w:lang w:val=&quot;es-ES_tradnl&quot; /&gt;&lt;/w:rPr&gt;">
        <w:rPr/>
        <w:t xml:space="preserve">La STC citada, 184/1990 decidió en su fallo que el art. 160 de la L.G.S.S., y la Disposición adicional décima de la Ley 30/1981, no se oponen a lo dispuesto en los arts. 10, 14 y 39 C.E.</w:t>
      </w:r>
    </w:p>
    <w:p w:rsidRPr="00C36767" w:rsidR="00F31FAF" w:rsidRDefault="00356547">
      <w:pPr>
        <w:rPr/>
      </w:pPr>
      <w:r w:rsidRPr="&lt;w:rPr xmlns:w=&quot;http://schemas.openxmlformats.org/wordprocessingml/2006/main&quot;&gt;&lt;w:lang w:val=&quot;es-ES_tradnl&quot; /&gt;&lt;/w:rPr&gt;">
        <w:rPr/>
        <w:t xml:space="preserve">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Pr="00C36767" w:rsidR="00F31FAF" w:rsidRDefault="00356547">
      <w:pPr>
        <w:rPr/>
      </w:pPr>
      <w:r w:rsidRPr="&lt;w:rPr xmlns:w=&quot;http://schemas.openxmlformats.org/wordprocessingml/2006/main&quot;&gt;&lt;w:lang w:val=&quot;es-ES_tradnl&quot; /&gt;&lt;/w:rPr&gt;">
        <w:rPr/>
        <w:t xml:space="preserve">Aquella circunstancia y la ya indicada de que el fundamento de la Sentencia de la que ahora discrepo está constituida por la anterior STC 184/1990, me permiten, y obligan en cierto modo, a indicar, siquiera sea concisamente, las razones de mi disparidad en cuanto a esta última para, en definitiva, aplicarlas también a la Sentencia de amparo y sostener que debió estimarse el recurso porque el Tribunal Superior de Justicia de Madrid, en su Sentencia de 13 de diciembre de 1989, hubo de interpretar y aplicar el art. 160 L.G.S.S. de acuerdo o en armonía con el art. 14 C.E.</w:t>
      </w:r>
    </w:p>
    <w:p w:rsidRPr="00C36767" w:rsidR="00F31FAF" w:rsidRDefault="00356547">
      <w:pPr>
        <w:rPr/>
      </w:pPr>
      <w:r w:rsidRPr="&lt;w:rPr xmlns:w=&quot;http://schemas.openxmlformats.org/wordprocessingml/2006/main&quot;&gt;&lt;w:lang w:val=&quot;es-ES_tradnl&quot; /&gt;&lt;/w:rPr&gt;">
        <w:rPr/>
        <w:t xml:space="preserve">2. En la citada STC 184/1990 se afirma (fundamento jurídico 3.°) que no son situaciones equivalentes el matrimonio y la convivencia extramatrimonial, lo que justifica su distinto tratamiento.</w:t>
      </w:r>
    </w:p>
    <w:p w:rsidRPr="00C36767" w:rsidR="00F31FAF" w:rsidRDefault="00356547">
      <w:pPr>
        <w:rPr/>
      </w:pPr>
      <w:r w:rsidRPr="&lt;w:rPr xmlns:w=&quot;http://schemas.openxmlformats.org/wordprocessingml/2006/main&quot;&gt;&lt;w:lang w:val=&quot;es-ES_tradnl&quot; /&gt;&lt;/w:rPr&gt;">
        <w:rPr/>
        <w:t xml:space="preserve">Pero el problema de la equiparación no es el verdadero tema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seria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Pr="00C36767" w:rsidR="00F31FAF" w:rsidRDefault="00356547">
      <w:pPr>
        <w:rPr/>
      </w:pPr>
      <w:r w:rsidRPr="&lt;w:rPr xmlns:w=&quot;http://schemas.openxmlformats.org/wordprocessingml/2006/main&quot;&gt;&lt;w:lang w:val=&quot;es-ES_tradnl&quot; /&gt;&lt;/w:rPr&gt;">
        <w:rPr/>
        <w:t xml:space="preserve">Lo que si parece congruente es que el participe de una unión libre y estable, de acreditada voluntad convivencial more uxorio, pueda exigir del Estado no resultar preterido en las prestaciones sociales sin una razón o causa justificada. La tesis que permite esa preterición es que la razón justificativa reside en la inexistencia del vínculo matrimonial formal -o que la pensión de viudedad (que es la prestación aquí en juego)ha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de Seguridad Social- que el dispensado a los que contraigan matrimonio, por lo que, en definitiva, cabe el tratamiento distinto, que no será por ello discriminatorio (fundamento jurídico 3.° STC 184/1990, y fundamento jurídico 3.° de la Sentencia de amparo de la que ahora se discrepa).</w:t>
      </w:r>
    </w:p>
    <w:p w:rsidRPr="00C36767" w:rsidR="00F31FAF" w:rsidRDefault="00356547">
      <w:pPr>
        <w:rPr/>
      </w:pPr>
      <w:r w:rsidRPr="&lt;w:rPr xmlns:w=&quot;http://schemas.openxmlformats.org/wordprocessingml/2006/main&quot;&gt;&lt;w:lang w:val=&quot;es-ES_tradnl&quot; /&gt;&lt;/w:rPr&gt;">
        <w:rPr/>
        <w:t xml:space="preserve">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especificas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(Habeas Corpus); 10 de la Ley 5/1984 (derecho de asilo); 391 de la L.O.P.J. y 101 del Código Civil, en los que se habla, de una u otra forma, de parejas unidas de forma permanente por relación de afectividad «análoga a la conyugal», o de personas unidas por vínculo matrimonial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Pr="00C36767" w:rsidR="00F31FAF" w:rsidRDefault="00356547">
      <w:pPr>
        <w:rPr/>
      </w:pPr>
      <w:r w:rsidRPr="&lt;w:rPr xmlns:w=&quot;http://schemas.openxmlformats.org/wordprocessingml/2006/main&quot;&gt;&lt;w:lang w:val=&quot;es-ES_tradnl&quot; /&gt;&lt;/w:rPr&gt;">
        <w:rPr/>
        <w:t xml:space="preserve">También los Jueces y Tribunales, en numerosas Sentencias, han reconocido y declarado efectos jurídicos a la llamada convivencia marital en materia de sucesiones, separación personal, pensiones, ayudas e indemnizaciones, contratos sobre bienes entre la pareja, etc.,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conviviente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Pr="00C36767" w:rsidR="00F31FAF" w:rsidRDefault="00356547">
      <w:pPr>
        <w:rPr/>
      </w:pPr>
      <w:r w:rsidRPr="&lt;w:rPr xmlns:w=&quot;http://schemas.openxmlformats.org/wordprocessingml/2006/main&quot;&gt;&lt;w:lang w:val=&quot;es-ES_tradnl&quot; /&gt;&lt;/w:rPr&gt;">
        <w:rPr/>
        <w:t xml:space="preserve">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razonable, ni se justifica desde el plano social, jurídico o constitucional, al menos, y con certeza, en el tema que nos ocupa de la pensión del viudo.</w:t>
      </w:r>
    </w:p>
    <w:p w:rsidRPr="00C36767" w:rsidR="00F31FAF" w:rsidRDefault="00356547">
      <w:pPr>
        <w:rPr/>
      </w:pPr>
      <w:r w:rsidRPr="&lt;w:rPr xmlns:w=&quot;http://schemas.openxmlformats.org/wordprocessingml/2006/main&quot;&gt;&lt;w:lang w:val=&quot;es-ES_tradnl&quot; /&gt;&lt;/w:rPr&gt;">
        <w:rPr/>
        <w:t xml:space="preserve">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participaba el cónyuge supérstite».</w:t>
      </w:r>
    </w:p>
    <w:p w:rsidRPr="00C36767" w:rsidR="00F31FAF" w:rsidRDefault="00356547">
      <w:pPr>
        <w:rPr/>
      </w:pPr>
      <w:r w:rsidRPr="&lt;w:rPr xmlns:w=&quot;http://schemas.openxmlformats.org/wordprocessingml/2006/main&quot;&gt;&lt;w:lang w:val=&quot;es-ES_tradnl&quot; /&gt;&lt;/w:rPr&gt;">
        <w:rPr/>
        <w:t xml:space="preserve">Claramente se está diciendo, pues, que no es el matrimonio en si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tota lege perspecta ...)  para llegar a la solución que yo entiendo más correcta, en relación, además, con el sentido de la prestación o pensión de viudedad.</w:t>
      </w:r>
    </w:p>
    <w:p w:rsidRPr="00C36767" w:rsidR="00F31FAF" w:rsidRDefault="00356547">
      <w:pPr>
        <w:rPr/>
      </w:pPr>
      <w:r w:rsidRPr="&lt;w:rPr xmlns:w=&quot;http://schemas.openxmlformats.org/wordprocessingml/2006/main&quot;&gt;&lt;w:lang w:val=&quot;es-ES_tradnl&quot; /&gt;&lt;/w:rPr&gt;">
        <w:rPr/>
        <w:t xml:space="preserve">En el sentido de esta concepción familiar amplia me remito al Voto particular del Magistrado Sr. Gimeno Sendra en la cuestión que originó la STC 184/1990, tan citada.</w:t>
      </w:r>
    </w:p>
    <w:p w:rsidRPr="00C36767" w:rsidR="00F31FAF" w:rsidRDefault="00356547">
      <w:pPr>
        <w:rPr/>
      </w:pPr>
      <w:r w:rsidRPr="&lt;w:rPr xmlns:w=&quot;http://schemas.openxmlformats.org/wordprocessingml/2006/main&quot;&gt;&lt;w:lang w:val=&quot;es-ES_tradnl&quot; /&gt;&lt;/w:rPr&gt;">
        <w:rPr/>
        <w:t xml:space="preserve">4. 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Pr="00C36767" w:rsidR="00F31FAF" w:rsidRDefault="00356547">
      <w:pPr>
        <w:rPr/>
      </w:pPr>
      <w:r w:rsidRPr="&lt;w:rPr xmlns:w=&quot;http://schemas.openxmlformats.org/wordprocessingml/2006/main&quot;&gt;&lt;w:lang w:val=&quot;es-ES_tradnl&quot; /&gt;&lt;/w:rPr&gt;">
        <w:rPr/>
        <w:t xml:space="preserve">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Pr="00C36767" w:rsidR="00F31FAF" w:rsidRDefault="00356547">
      <w:pPr>
        <w:rPr/>
      </w:pPr>
      <w:r w:rsidRPr="&lt;w:rPr xmlns:w=&quot;http://schemas.openxmlformats.org/wordprocessingml/2006/main&quot;&gt;&lt;w:lang w:val=&quot;es-ES_tradnl&quot; /&gt;&lt;/w:rPr&gt;">
        <w:rP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familiar, su devengo seria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L.G.S.S.  vulneraría dicha norma constitucional de entenderse que en su ámbito no se comprende el supuesto del recurso de amparo, es decir, su aplicación al supérstite de la convivencia extramatrimonial, pero acreditada y estable. Y esto será así mientras no se nos ofrezca una razón o fundamento que justifique de qué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Pr="00C36767" w:rsidR="00F31FAF" w:rsidRDefault="00356547">
      <w:pPr>
        <w:rPr/>
      </w:pPr>
      <w:r w:rsidRPr="&lt;w:rPr xmlns:w=&quot;http://schemas.openxmlformats.org/wordprocessingml/2006/main&quot;&gt;&lt;w:lang w:val=&quot;es-ES_tradnl&quot; /&gt;&lt;/w:rPr&gt;">
        <w:rPr/>
        <w:t xml:space="preserve">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Pr="00C36767" w:rsidR="00F31FAF" w:rsidRDefault="00356547">
      <w:pPr>
        <w:rPr/>
      </w:pPr>
      <w:r w:rsidRPr="&lt;w:rPr xmlns:w=&quot;http://schemas.openxmlformats.org/wordprocessingml/2006/main&quot;&gt;&lt;w:lang w:val=&quot;es-ES_tradnl&quot; /&gt;&lt;/w:rPr&gt;">
        <w:rPr/>
        <w:t xml:space="preserve">Habría, sin embargo, la posibilidad de entender su fallo -favorabilia amplianda- no como una cláusula de cierre absoluto, que permitiera la aplicación del art. 160 L.G.S.S. a cada situación concreta y en méritos de la misma. Solución que, además, seria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dió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López Guerra en la Sentencia dictada en el recurso de amparo núm. 391/90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expresada por el Pleno de este Tribunal en el recurso de amparo núm. 391/90.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1419/88. En efecto, si bien en el actual supuesta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Pr="00C36767" w:rsidR="00F31FAF" w:rsidRDefault="00356547">
      <w:pPr>
        <w:rPr/>
      </w:pPr>
      <w:r w:rsidRPr="&lt;w:rPr xmlns:w=&quot;http://schemas.openxmlformats.org/wordprocessingml/2006/main&quot;&gt;&lt;w:lang w:val=&quot;es-ES_tradnl&quot; /&gt;&lt;/w:rPr&gt;">
        <w:rPr/>
        <w:t xml:space="preserve">Ciertamente, el reconocimiento expreso de la institución matrimonial en el art.  32 de la Constitución,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Pr="00C36767" w:rsidR="00F31FAF" w:rsidRDefault="00356547">
      <w:pPr>
        <w:rPr/>
      </w:pPr>
      <w:r w:rsidRPr="&lt;w:rPr xmlns:w=&quot;http://schemas.openxmlformats.org/wordprocessingml/2006/main&quot;&gt;&lt;w:lang w:val=&quot;es-ES_tradnl&quot; /&gt;&lt;/w:rPr&gt;">
        <w:rPr/>
        <w:t xml:space="preserve">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Pr="00C36767" w:rsidR="00F31FAF" w:rsidRDefault="00356547">
      <w:pPr>
        <w:rPr/>
      </w:pPr>
      <w:r w:rsidRPr="&lt;w:rPr xmlns:w=&quot;http://schemas.openxmlformats.org/wordprocessingml/2006/main&quot;&gt;&lt;w:lang w:val=&quot;es-ES_tradnl&quot; /&gt;&lt;/w:rPr&gt;">
        <w:rPr/>
        <w:t xml:space="preserve">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Pr="00C36767" w:rsidR="00F31FAF" w:rsidRDefault="00356547">
      <w:pPr>
        <w:rPr/>
      </w:pPr>
      <w:r w:rsidRPr="&lt;w:rPr xmlns:w=&quot;http://schemas.openxmlformats.org/wordprocessingml/2006/main&quot;&gt;&lt;w:lang w:val=&quot;es-ES_tradnl&quot; /&gt;&lt;/w:rPr&gt;">
        <w:rPr/>
        <w:t xml:space="preserve">Si las prestaciones de la Seguridad Social se configurasen como elementos naturalmente integradores del régimen del matrimonio, o como técnicas de protección de la institución matrimonial, no cabría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Pr="00C36767" w:rsidR="00F31FAF" w:rsidRDefault="00356547">
      <w:pPr>
        <w:rPr/>
      </w:pPr>
      <w:r w:rsidRPr="&lt;w:rPr xmlns:w=&quot;http://schemas.openxmlformats.org/wordprocessingml/2006/main&quot;&gt;&lt;w:lang w:val=&quot;es-ES_tradnl&quot; /&gt;&lt;/w:rPr&gt;">
        <w:rP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