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marzo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22 de marzo de 2000, la Procuradora de los Tribunales doña Elvira Cámara López, en nombre y representación de don José Luis García Sedaño, interpone recurso de amparo contra la Sentencia dictada por la Sala Segunda del Tribunal Supremo el 7 de febrero de 2000, declarando no haber lugar al recurso de casación núm. 3528/98 interpuesto contra la Sentencia dictada por la Sección Primera de la Audiencia Provincial de Santander el 29 de junio de 1998, en causa seguida por delito de robo con homicidio. En la demanda de amparo se denuncia la vulneración de los derechos a la tutela judicial efectiva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22 de febrero de 2001, acordó, respectivamente, la admisión a trámite de la demanda de amparo y la formación de pieza separada para la tramitación del incidente sobre suspensión de la ejecución, concediendo a la parte recurrente y al Ministerio Fiscal un plazo común de tres días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 de marzo de 2001, la representación procesal del recurrente remite sus alegaciones, señalando la procedencia de la suspensión y más cuando el Sr. García Sedaño, mientras permaneció en libertad, cumplió a rajatabla con sus obligaciones apud acta, trabajando en el sostenimiento de su familia, sin intentar en ningún momento eludir la acción de la justicia. Si no se acordara la suspensión y el recurso prosperase se ocasionarían perjuicios irreparables a su defendido.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mediante escrito registrado el 9 de marzo de 2001, evacúa el trámite conferido. En él, tras recordar la doctrina de este Tribunal sobre los criterios que se utilizan para decidir sobre la suspensión, señala que, cumpliéndose la mayoría de los mismos (gravedad de la pena impuesta, bien jurídico atacado, alarma social causada, el riesgo de fuga, al haberse cumplido una mínima parte de la pena, y suponer la suspensión una perturbación grave de los intereses generales, que en sí misma supone el incumplimiento de una resolución judicial firme), debe denegarse la suspensión solicitada. No obstante lo anterior, finaliza, sería preciso otorgar prioridad en su resolución al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esta doctrina general, este Tribunal tiene declarado que, a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muchos, AATC 144/1984, 267/1995, 301/1995, 7/1996, 152/1996, 87/1997, 286/1997, 182/1998, 271/1998 y 7/2001).</w:t>
      </w:r>
    </w:p>
    <w:p w:rsidRPr="00C21FFE" w:rsidR="00AD51A7" w:rsidRDefault="008777C4">
      <w:pPr>
        <w:rPr/>
      </w:pPr>
      <w:r w:rsidRPr="&lt;w:rPr xmlns:w=&quot;http://schemas.openxmlformats.org/wordprocessingml/2006/main&quot;&gt;&lt;w:lang w:val=&quot;es-ES_tradnl&quot; /&gt;&lt;/w:rPr&gt;">
        <w:rPr/>
        <w:t xml:space="preserve">No obstante, el criterio referido a la suspensión de resoluciones judiciales en cuyo fallo se declare la condena a penas de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-ejecutoriedad de las resoluciones judiciales y derecho a la libertad personal-, y, por ello, deben examinarse las circunstancias específicas que concurren en cada supuesto, pues las mismas pueden incrementar o disminuir el peso de los citados valores inclinando la resolución a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 476/1984, 418/1985,522/1985,53/1992, 152/1995, 196/1995, 121/1996, 163/1996,226/1996, 419/1997, 79/1998, 186/1998, 220/1999 y 114/2000).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denegarse la suspensión solicitada.  Dada la larga duración de la pena privativa de libertad impuesta (veintinueve años de reclusión menor) no procede suspender su ejecución. Como se ha afirmado anteriormente, aunque la regla general de este Tribunal es que en el caso de penas privativas de libertad debe ser la suspensión, ya que su cumplimiento conlleva en sí mismo una pérdida, al menos parcial, de la finalidad del amparo, también se ha indicado que esta regla general no está exenta de excepciones y una de estas excepciones es, precisamente, la duración de la pena, ya que en el supuesto de que la pena sea de larga duración "el interés general reclama con especial intensidad su ejecución" (ATC 214/1997). Esta conclusión se impone no sólo por el necesario mantenimiento de la confianza en la justicia penal y los efectos disuasorios que se derivan de la finalidad de prevención general de los delitos (AATC 310/1996, 419/1997, 265/1998), sino también porque, como ha señalado el ATC 265/1998, la duración de la pena cuantifica "el desvalor del comportamiento enjuiciado y el daño social producido, según la apreciación del Tribunal sentenciador, que nosotros no podemos revisar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 señalarse, no obstante, que dada la irreparabilidad y la gravedad de los perjuicios que la ejecución de la condena que no ha sido suspendida causaría al recurrente en el caso de que este Tribunal estimare el presente recurso de amparo, estamos obligados a reducir en lo posible tan negativos efectos, por lo que como se ha hecho en casos análogos (entre otros, AATC 144/1990, 169/1995, 246/1996, 287/1996, 385/1996, 419/1997, 47/1998, 48/1998, 79/1998, 265/1998, 267/1998, 268/1998)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