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182</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abril de 2000, la Procuradora de los Tribunales, doña Sonia Casqueiro Alvarez, en nombre y representación de don José Yáñez Hermida, formuló recurso de amparo contra la Sentencia dictada por la Audiencia Provincial de A Coruña, de 20 de enero de 2000, que confirma en apelación la dictada por el Juzgado de lo Penal de El Ferrol, de 29 de junio de 1999, en el procedimiento abreviado núm. 30/97, seguido contra el hoy demandante por delito contra la seguridad en el tráfico. En dicho procedimiento se le condenó como autor de este delito a las penas de multa de cinco meses con cuota diaria de mil pesetas y privación del derecho de conducir vehículos de motor y ciclomotor por período de dos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alega la vulneración del derecho a la legalidad sancionatoria (art. 25.1 CE) por cuanto habría sido condenado dos veces por los mismos hechos, ya que fue sancionado con anterioridad en la vía administrativa por haber conducido bajo la influencia de bebidas alcohólicas.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21 de mayo de 2001, la Sección Segunda acordó admitir a trámite la demanda de amparo, abrir pieza separada de suspensión y, de conformidad con lo prevenido en el art. 56 LOTC, conceder un plazo común de tres días, al Ministerio Fiscal y a la demandante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en este Tribunal el 2 de junio de 2001, el demandante de amparo, evacuando el trámite de alegaciones, manifestó que la pena de multa ha sido ya ejecutada y que la privación del derecho a conducir vehículo de motor y ciclomotor comenzó a ejecutarse el 3 de mayo de 2000. De otra parte, alega que el recurso de amparo interpuesto carecería de sentido si tuviera que cumplir la pena en su totalidad, dado que los perjuicios causados en caso de resolución favorable del Tribunal serían de imposible reparación, perdiendo el amparo solicitado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ante este Tribunal el 5 de junio de 2001, el Ministerio Fiscal, de conformidad con la doctrina constitucional aplicable interesa la denegación la suspensión solicitada. De un lado, en relación con la pena de multa recuerda la doctrina de este Tribunal en el sentido de que no procede la suspensión de la ejecución de los pronunciamientos de carácter económico dado que resulta posible su reparación mediante reintegro de lo abonado. De otra parte, respecto de la pena de privación del derecho de conducir vehículos de motor y ciclomotor, entiende que, de conformidad con la doctrina constitucional más moderna (AATC 30/1999 y 53/1999) que matiza la anterior (AATC 152/1997 y 55/1998), no procede la suspensión instada, por cuanto una resolución positiva requeriría que el demandante hubiera alegado circunstancias personales o profesionales idóneas para acreditar el grave perjuicio que le causaría la ejecución de dicha pena, pues, en otro caso, habría de prevalecer el interés general en la efectividad de la condena. De modo que, en la medida en que el recurrente no alega tales circunstancias concretas que sustentarían un perjuicio personal específico, sino que solicita la suspensión de dicha pena con base en un genérica fundamentación, debe denegarse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 manifestado por el recurrente en su escrito de alegaciones se desprende que el objeto de la suspensión interesada ha quedado reducido al pronunciamiento de las resoluciones judiciales impugnadas relativas a la pena de privación del derecho a conducir vehículos de motor y ciclomotor. En relación con dicho pronunciamiento hemos de recordar que, de conformidad con lo dispuesto en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inciso segundo de este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atención a dichas previsiones normativas, este Tribunal ha declarado de forma reiterada que la suspensión de la ejecución de una resolución judicial entraña una perturbación de la función jurisdiccional, existiendo, por tanto, un interés general en su ejecución (AATC 81/1981, 242/2000 entre muchos). De suerte que habrá de denegarse en principio la suspensión de la ejecución, salvo que el demandante acredite, y este Tribunal aprecie, que la ejecución de la resolución le ocasionaría un perjuicio irreparable. En particular, en relación de la pena de privación del permiso de conducir vehículos de motor, este Tribunal ha acordado la suspensión cuando el demandante alega y acredita un perjuicio específico dada su condición profesional de conductor (ATC 242/2000), o dada la ausencia de transporte público para acceder al lugar de trabajo (ATC 53/1999), por el contrario, la ha negado ante la falta de acreditación de tales perjuicios irreparables (ATC 30/1999).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como afirma el Ministerio Fiscal, el demandante de amparo no alega que la denegación de la suspensión de la pena de privación del permiso de conducir vehículos de motor le ocasione un especial perjuicio derivado de ser su profesión la de conductor, u otros extremos, sino que se refiere de forma general a los perjuicios que derivarían del cumplimiento total de la pena antes de que este Tribunal resuelva el recurso de amparo. Por consiguiente, ponderando, de un lado, el interés general en la ejecución de la resolución judicial y el específico en la ejecución de la pena impuesta a la luz de la conexión del delito por el que ha sido condenado por los Tribunales penales -delito contra la seguridad del tráfico por conducir bajo el efecto de bebidas alcohólicas-, y, de otro, el contenido de la pena a la que se refiere la suspensión solicitada -privación del permiso de conducir- y la específica función asegurativa que ésta cumple en estos casos, ha de denegarse la suspensión solicitada, dado que la misma ocasionaría una perturbación grave en los intereses generales., mientras que el perjuicio que ocasionaría su ejecución al recurrente es, sin más, el inherente a la ejecución de una pena de esta naturaleza y entidad.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