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noviembre de 2001 fue registrado en este Tribunal oficio de fecha 30 de octubre de 2001, remitido por la Sala de lo Contencioso Administrativo (SeTribunal Superior de Justicia del País Vasco, al que se adjuntaba, entre otros testimonios, el del Auto del mismo órgano judicial, de 19 de octubre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Del citado Auto se deduce implícita pero claramente que el objeto de esta cuestión de inconstitucionalidad se limita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deriva de un recurso contencioso administrativo interpuesto contra el Acuerdo de la Comisión de Gobierno del Ayuntamiento de Irún, de 17 de marzo de 1999, por el que se concedía licencia de construcción de nueve viviendas y bajos comerciales en la calle Santa Elena, núms. 17 y 19, de Irún, bajo la condición de que se procediera "al pago de 4.225.990 pesetas en concepto de compensación económica por el 10 por 100 de aprovechamiento no susceptible de apropiación por el titular". Antes de dictar la Sentencia para resolver el recurso de apelación interpuesto contra la Sentencia de primera instancia, la Sala de lo Contencioso Administrativo (Sección Segunda) del Tribunal Superior de Justicia del País Vasco dictó providencias de 23 de junio de 2000 y de 10 de julio de 2001 por las que se acordaba, conforme a la regulación del art. 35 LOTC, oír a las partes y al Ministerio Fiscal sobre la pertinencia de plantear cuestión de inconstitucionalidad sobre el precepto citado de la Ley Vasca 11/1998.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Pr="00C21FFE" w:rsidR="00AD51A7" w:rsidRDefault="008777C4">
      <w:pPr>
        <w:rPr/>
      </w:pPr>
      <w:r w:rsidRPr="&lt;w:rPr xmlns:w=&quot;http://schemas.openxmlformats.org/wordprocessingml/2006/main&quot;&gt;&lt;w:lang w:val=&quot;es-ES_tradnl&quot; /&gt;&lt;/w:rPr&gt;">
        <w:rPr/>
        <w:t xml:space="preserve">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2002 la Sección Primera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19 de octubre de 2001 limita, implícita pero claramente,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situaciones jurídicas que están en el origen del planteamiento de esta cuestión de inconstitucionalidad, habrá que estar a lo declarado en el fundamento jurídico 9 de la citada STC 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5892-2001,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